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679053C" w:rsidR="00CE174B" w:rsidRDefault="006572BB">
      <w:r>
        <w:rPr>
          <w:rFonts w:ascii="Corbel" w:hAnsi="Corbe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BCAC1D0" wp14:editId="52523859">
            <wp:simplePos x="0" y="0"/>
            <wp:positionH relativeFrom="column">
              <wp:posOffset>2329180</wp:posOffset>
            </wp:positionH>
            <wp:positionV relativeFrom="paragraph">
              <wp:posOffset>-1871345</wp:posOffset>
            </wp:positionV>
            <wp:extent cx="676275" cy="676275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P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97B3BC" wp14:editId="228D0A84">
                <wp:simplePos x="0" y="0"/>
                <wp:positionH relativeFrom="page">
                  <wp:posOffset>0</wp:posOffset>
                </wp:positionH>
                <wp:positionV relativeFrom="paragraph">
                  <wp:posOffset>-1899285</wp:posOffset>
                </wp:positionV>
                <wp:extent cx="7553325" cy="1333500"/>
                <wp:effectExtent l="57150" t="1905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33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0D91" w14:textId="77777777" w:rsidR="006572B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E44DD0" w14:textId="77777777" w:rsidR="006572B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8A121B" w14:textId="77777777" w:rsidR="006572B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E58513" w14:textId="77777777" w:rsidR="006572BB" w:rsidRPr="00153F3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153F3B">
                              <w:rPr>
                                <w:rFonts w:ascii="Corbel" w:hAnsi="Corbel"/>
                                <w:b/>
                                <w:bCs/>
                              </w:rPr>
                              <w:t>TRIBUNAL DE JUSTIÇA DO ESTADO DO PARÁ</w:t>
                            </w:r>
                          </w:p>
                          <w:p w14:paraId="772F2010" w14:textId="77777777" w:rsidR="006572BB" w:rsidRPr="00153F3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153F3B">
                              <w:rPr>
                                <w:rFonts w:ascii="Corbel" w:hAnsi="Corbel"/>
                                <w:b/>
                                <w:bCs/>
                              </w:rPr>
                              <w:t>NÚCLEO DE GERENCIAMENTO DE PRECEDENTES – NUGEP</w:t>
                            </w:r>
                          </w:p>
                          <w:p w14:paraId="65EDF0CF" w14:textId="77777777" w:rsidR="006572BB" w:rsidRPr="00153F3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153F3B">
                              <w:rPr>
                                <w:rFonts w:ascii="Corbel" w:hAnsi="Corbel"/>
                                <w:b/>
                                <w:bCs/>
                              </w:rPr>
                              <w:t>INCIDENTE DE ASSUNÇÃO DE COMPETÊNCIA - IAC</w:t>
                            </w:r>
                          </w:p>
                          <w:p w14:paraId="743C1DB9" w14:textId="77777777" w:rsidR="006572B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</w:p>
                          <w:p w14:paraId="414D2AF5" w14:textId="77777777" w:rsidR="006572B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</w:p>
                          <w:p w14:paraId="4875D072" w14:textId="77777777" w:rsidR="006572BB" w:rsidRPr="00987688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987688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ACA7E47" w14:textId="77777777" w:rsidR="006572BB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5B53F7" w14:textId="77777777" w:rsidR="006572BB" w:rsidRPr="00BC6251" w:rsidRDefault="006572BB" w:rsidP="006572B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97B3BC" id="Retângulo 2" o:spid="_x0000_s1026" style="position:absolute;margin-left:0;margin-top:-149.55pt;width:594.7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" fillcolor="#002060" strokecolor="#4579b8 [3044]">
                <v:shadow on="t" color="black" opacity="22937f" origin=",.5" offset="0,.63889mm"/>
                <v:textbox>
                  <w:txbxContent>
                    <w:p w14:paraId="271B0D91" w14:textId="77777777" w:rsidR="006572B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3E44DD0" w14:textId="77777777" w:rsidR="006572B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8A121B" w14:textId="77777777" w:rsidR="006572B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3E58513" w14:textId="77777777" w:rsidR="006572BB" w:rsidRPr="00153F3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153F3B">
                        <w:rPr>
                          <w:rFonts w:ascii="Corbel" w:hAnsi="Corbel"/>
                          <w:b/>
                          <w:bCs/>
                        </w:rPr>
                        <w:t>TRIBUNAL DE JUSTIÇA DO ESTADO DO PARÁ</w:t>
                      </w:r>
                    </w:p>
                    <w:p w14:paraId="772F2010" w14:textId="77777777" w:rsidR="006572BB" w:rsidRPr="00153F3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153F3B">
                        <w:rPr>
                          <w:rFonts w:ascii="Corbel" w:hAnsi="Corbel"/>
                          <w:b/>
                          <w:bCs/>
                        </w:rPr>
                        <w:t>NÚCLEO DE GERENCIAMENTO DE PRECEDENTES – NUGEP</w:t>
                      </w:r>
                    </w:p>
                    <w:p w14:paraId="65EDF0CF" w14:textId="77777777" w:rsidR="006572BB" w:rsidRPr="00153F3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153F3B">
                        <w:rPr>
                          <w:rFonts w:ascii="Corbel" w:hAnsi="Corbel"/>
                          <w:b/>
                          <w:bCs/>
                        </w:rPr>
                        <w:t>INCIDENTE DE ASSUNÇÃO DE COMPETÊNCIA - IAC</w:t>
                      </w:r>
                    </w:p>
                    <w:p w14:paraId="743C1DB9" w14:textId="77777777" w:rsidR="006572B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</w:p>
                    <w:p w14:paraId="414D2AF5" w14:textId="77777777" w:rsidR="006572B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</w:p>
                    <w:p w14:paraId="4875D072" w14:textId="77777777" w:rsidR="006572BB" w:rsidRPr="00987688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987688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</w:p>
                    <w:p w14:paraId="6ACA7E47" w14:textId="77777777" w:rsidR="006572BB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5B53F7" w14:textId="77777777" w:rsidR="006572BB" w:rsidRPr="00BC6251" w:rsidRDefault="006572BB" w:rsidP="006572BB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10280" w:type="dxa"/>
        <w:tblInd w:w="-1026" w:type="dxa"/>
        <w:tblBorders>
          <w:right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37"/>
        <w:gridCol w:w="7543"/>
      </w:tblGrid>
      <w:tr w:rsidR="00CE174B" w14:paraId="4381FF87" w14:textId="77777777" w:rsidTr="43F29881">
        <w:tc>
          <w:tcPr>
            <w:tcW w:w="273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AB6C7B" w14:textId="1EB0292E" w:rsidR="00E628C8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59299423">
              <w:rPr>
                <w:rFonts w:eastAsia="EB Garamond"/>
                <w:color w:val="1F487C"/>
                <w:sz w:val="20"/>
                <w:szCs w:val="20"/>
              </w:rPr>
              <w:t xml:space="preserve">O pedido é direcionado ao Presidente, em razão do </w:t>
            </w:r>
            <w:r w:rsidR="7EF76149" w:rsidRPr="59299423">
              <w:rPr>
                <w:rFonts w:eastAsia="EB Garamond"/>
                <w:color w:val="1F487C"/>
                <w:sz w:val="20"/>
                <w:szCs w:val="20"/>
              </w:rPr>
              <w:t>art. 18</w:t>
            </w:r>
            <w:r w:rsidR="0094EF20" w:rsidRPr="59299423">
              <w:rPr>
                <w:rFonts w:eastAsia="EB Garamond"/>
                <w:color w:val="1F487C"/>
                <w:sz w:val="20"/>
                <w:szCs w:val="20"/>
              </w:rPr>
              <w:t xml:space="preserve">4 </w:t>
            </w:r>
            <w:r w:rsidR="7EF76149" w:rsidRPr="59299423">
              <w:rPr>
                <w:rFonts w:eastAsia="EB Garamond"/>
                <w:color w:val="1F487C"/>
                <w:sz w:val="20"/>
                <w:szCs w:val="20"/>
              </w:rPr>
              <w:t>do Regimento Interno do TJPA.</w:t>
            </w:r>
            <w:r w:rsidRPr="59299423">
              <w:rPr>
                <w:rFonts w:eastAsia="EB Garamond"/>
                <w:color w:val="1F487C"/>
                <w:sz w:val="20"/>
                <w:szCs w:val="20"/>
              </w:rPr>
              <w:t xml:space="preserve"> </w:t>
            </w:r>
          </w:p>
          <w:p w14:paraId="21DB6549" w14:textId="6918FFCA" w:rsidR="73973644" w:rsidRDefault="73973644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700E6F3" w14:textId="12C9EF30" w:rsidR="73973644" w:rsidRDefault="73973644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9266CC4" w14:textId="16BAF81C" w:rsidR="5609FB59" w:rsidRDefault="00CD6963" w:rsidP="5609FB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73973644">
              <w:rPr>
                <w:rFonts w:eastAsia="EB Garamond"/>
                <w:color w:val="1F487C"/>
                <w:sz w:val="20"/>
                <w:szCs w:val="20"/>
              </w:rPr>
              <w:t>Informe o número do</w:t>
            </w:r>
            <w:r w:rsidR="3F6758CA" w:rsidRPr="73973644">
              <w:rPr>
                <w:rFonts w:eastAsia="EB Garamond"/>
                <w:color w:val="1F487C"/>
                <w:sz w:val="20"/>
                <w:szCs w:val="20"/>
              </w:rPr>
              <w:t>(s) processo(s) paradigma(s)</w:t>
            </w:r>
            <w:r w:rsidR="7BFC6FEA" w:rsidRPr="73973644">
              <w:rPr>
                <w:rFonts w:eastAsia="EB Garamond"/>
                <w:color w:val="1F487C"/>
                <w:sz w:val="20"/>
                <w:szCs w:val="20"/>
              </w:rPr>
              <w:t xml:space="preserve"> </w:t>
            </w:r>
          </w:p>
          <w:p w14:paraId="33F63011" w14:textId="760988CB" w:rsidR="5609FB59" w:rsidRDefault="5609FB59" w:rsidP="5609FB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E0AD64C" w14:textId="4B2F1666" w:rsidR="5609FB59" w:rsidRDefault="5609FB59" w:rsidP="5609FB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C6CE7EC" w14:textId="60A149DF" w:rsidR="5609FB59" w:rsidRDefault="5609FB59" w:rsidP="5609FB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8BC3119" w14:textId="5E680B6E" w:rsidR="5B8A29BB" w:rsidRDefault="5B8A29BB" w:rsidP="5B8A29B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12077E8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>
              <w:rPr>
                <w:rFonts w:eastAsia="EB Garamond"/>
                <w:color w:val="548DD4"/>
                <w:sz w:val="20"/>
                <w:szCs w:val="20"/>
              </w:rPr>
              <w:t>Identifique o autor (qualifique, se for o caso).</w:t>
            </w:r>
          </w:p>
          <w:p w14:paraId="41C8F39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2A3D3EC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0B940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E27B00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0061E4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EAFD9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5FB0818" w14:textId="3A8B6B8B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49F31CB" w14:textId="77777777" w:rsidR="00CD6963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E446746" w14:textId="26161963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D78CADF" w14:textId="5B8ED815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3F19084" w14:textId="1930B02D" w:rsidR="73973644" w:rsidRDefault="73973644" w:rsidP="73973644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60850DC" w14:textId="28B5FD27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8B87432" w14:textId="5D41A389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3AEA641" w14:textId="389ECC80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A9DB916" w14:textId="5D06BF91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F699AC8" w14:textId="0224DB2A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A4CD4F6" w14:textId="6BEA4137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9161C2F" w14:textId="746F1D76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2E86F25" w14:textId="682FA610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706F6FB" w14:textId="60F52519" w:rsidR="224C5AA5" w:rsidRDefault="224C5AA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296ABE4" w14:textId="734A49EF" w:rsidR="5B8A29BB" w:rsidRDefault="5B8A29B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B7427D8" w14:textId="01CCC155" w:rsidR="5B8A29BB" w:rsidRDefault="5B8A29B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9738A14" w14:textId="529F5F4D" w:rsidR="5B8A29BB" w:rsidRDefault="5B8A29B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B99056E" w14:textId="4C4365AF" w:rsidR="00CE174B" w:rsidRDefault="00CD6963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224C5AA5">
              <w:rPr>
                <w:rFonts w:eastAsia="EB Garamond"/>
                <w:color w:val="1F487C"/>
                <w:sz w:val="20"/>
                <w:szCs w:val="20"/>
              </w:rPr>
              <w:t xml:space="preserve">Indique a questão </w:t>
            </w:r>
            <w:r w:rsidR="59E23B5D" w:rsidRPr="224C5AA5">
              <w:rPr>
                <w:rFonts w:eastAsia="EB Garamond"/>
                <w:color w:val="1F487C"/>
                <w:sz w:val="20"/>
                <w:szCs w:val="20"/>
              </w:rPr>
              <w:t xml:space="preserve">jurídica </w:t>
            </w:r>
            <w:r w:rsidRPr="224C5AA5">
              <w:rPr>
                <w:rFonts w:eastAsia="EB Garamond"/>
                <w:color w:val="1F487C"/>
                <w:sz w:val="20"/>
                <w:szCs w:val="20"/>
              </w:rPr>
              <w:t>objeto d</w:t>
            </w:r>
            <w:r w:rsidR="2B89EFDA" w:rsidRPr="224C5AA5">
              <w:rPr>
                <w:rFonts w:eastAsia="EB Garamond"/>
                <w:color w:val="1F487C"/>
                <w:sz w:val="20"/>
                <w:szCs w:val="20"/>
              </w:rPr>
              <w:t>o incidente.</w:t>
            </w:r>
          </w:p>
          <w:p w14:paraId="6D7EBAD0" w14:textId="72AB6153" w:rsidR="21BC7059" w:rsidRDefault="21BC7059" w:rsidP="21BC7059">
            <w:pPr>
              <w:pStyle w:val="LO-normal"/>
              <w:spacing w:line="360" w:lineRule="auto"/>
              <w:jc w:val="both"/>
            </w:pPr>
          </w:p>
          <w:p w14:paraId="1299C43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DDBEF00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461D77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BAF6557" w14:textId="7B91B9E0" w:rsidR="5B8A29BB" w:rsidRDefault="5B8A29B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15BB432" w14:textId="49FDCA9C" w:rsidR="5B8A29BB" w:rsidRDefault="5B8A29B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2DD644D" w14:textId="40C48CDA" w:rsidR="43F29881" w:rsidRDefault="43F29881" w:rsidP="43F2988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A23736D" w14:textId="5D6C2471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5B8A29BB">
              <w:rPr>
                <w:rFonts w:eastAsia="EB Garamond"/>
                <w:color w:val="1F487C"/>
                <w:sz w:val="20"/>
                <w:szCs w:val="20"/>
              </w:rPr>
              <w:t>Explicite o entendimento em torno da questão.</w:t>
            </w:r>
          </w:p>
          <w:p w14:paraId="61CDCEA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3DE523C" w14:textId="0FDA56D4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01E08D1" w14:textId="4BE4DDFA" w:rsidR="59299423" w:rsidRDefault="59299423" w:rsidP="59299423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210C819" w14:textId="56F91194" w:rsidR="59299423" w:rsidRDefault="59299423" w:rsidP="59299423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72C16CD" w14:textId="40C5607C" w:rsidR="59299423" w:rsidRDefault="59299423" w:rsidP="59299423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E96C0AC" w14:textId="629A33DE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59299423">
              <w:rPr>
                <w:rFonts w:eastAsia="EB Garamond"/>
                <w:color w:val="548DD4" w:themeColor="text2" w:themeTint="99"/>
                <w:sz w:val="20"/>
                <w:szCs w:val="20"/>
              </w:rPr>
              <w:t xml:space="preserve">Cite jurisprudência ou decisões que exemplificam </w:t>
            </w:r>
            <w:r w:rsidR="6C4EAAFC" w:rsidRPr="59299423">
              <w:rPr>
                <w:rFonts w:eastAsia="EB Garamond"/>
                <w:color w:val="548DD4" w:themeColor="text2" w:themeTint="99"/>
                <w:sz w:val="20"/>
                <w:szCs w:val="20"/>
              </w:rPr>
              <w:t xml:space="preserve">o </w:t>
            </w:r>
            <w:r w:rsidRPr="59299423">
              <w:rPr>
                <w:rFonts w:eastAsia="EB Garamond"/>
                <w:color w:val="548DD4" w:themeColor="text2" w:themeTint="99"/>
                <w:sz w:val="20"/>
                <w:szCs w:val="20"/>
              </w:rPr>
              <w:t>entendimento.</w:t>
            </w:r>
          </w:p>
          <w:p w14:paraId="52E5622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7547A0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043CB0F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EDFF95C" w14:textId="64CADB02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364588B" w14:textId="0041B193" w:rsidR="00CE174B" w:rsidRDefault="00CE174B" w:rsidP="43F2988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A5E271C" w14:textId="0E64D408" w:rsidR="00CE174B" w:rsidRDefault="49C4E1BA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43F29881">
              <w:rPr>
                <w:rFonts w:eastAsia="EB Garamond"/>
                <w:color w:val="1F487C"/>
                <w:sz w:val="20"/>
                <w:szCs w:val="20"/>
              </w:rPr>
              <w:t>Apresente outro entendimento que baliza a controvérsia em torno da questão.</w:t>
            </w:r>
          </w:p>
          <w:p w14:paraId="6DFB9E20" w14:textId="759F8414" w:rsidR="00CE174B" w:rsidRDefault="00CE174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0DF9E5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E871B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3927C4E" w14:textId="0240454C" w:rsidR="00CE174B" w:rsidRDefault="00CD6963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43F29881">
              <w:rPr>
                <w:rFonts w:eastAsia="EB Garamond"/>
                <w:color w:val="1F487C"/>
                <w:sz w:val="20"/>
                <w:szCs w:val="20"/>
              </w:rPr>
              <w:t>Cite jurisprudência ou decisões que exemplificam esse entendimento.</w:t>
            </w:r>
          </w:p>
          <w:p w14:paraId="3A0FF5F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53708F4" w14:textId="29FC1444" w:rsidR="00CE174B" w:rsidRDefault="00CE174B" w:rsidP="43F2988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7EA935B" w14:textId="764C8558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3F29881">
              <w:rPr>
                <w:rFonts w:eastAsia="EB Garamond"/>
                <w:color w:val="1F487C"/>
                <w:sz w:val="20"/>
                <w:szCs w:val="20"/>
              </w:rPr>
              <w:t>Sintetize a controvérsia existente em torno da questão, indicando o ponto de divergência, a fim de contribuir para delimitação da questão submetida.</w:t>
            </w:r>
          </w:p>
          <w:p w14:paraId="2BA226A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7AD93B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E4B5B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6204FF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DBF0D7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B62F1B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2F2C34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80A4E5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921983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96FEF7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94DB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69D0D3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CD245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231BE6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6FEB5B0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0D7AA6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96D06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4FF1C98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D072C0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8A2191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BD18F9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D621470" w14:textId="77777777" w:rsidR="006572BB" w:rsidRDefault="006572BB" w:rsidP="43F2988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6B6EC13" w14:textId="77777777" w:rsidR="006572BB" w:rsidRDefault="006572BB" w:rsidP="43F2988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A4E5EB3" w14:textId="62FAFDE3" w:rsidR="43F29881" w:rsidRDefault="43F29881" w:rsidP="43F2988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39845F1" w14:textId="77777777" w:rsidR="0061135F" w:rsidRDefault="0061135F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C7CF830" w14:textId="12048CBF" w:rsidR="00CE174B" w:rsidRDefault="5B5C5AF5" w:rsidP="224C5AA5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5B8A29BB">
              <w:rPr>
                <w:rFonts w:eastAsia="EB Garamond"/>
                <w:color w:val="1F487C"/>
                <w:sz w:val="20"/>
                <w:szCs w:val="20"/>
              </w:rPr>
              <w:t xml:space="preserve">Complemente o texto, demonstrando a relevância de </w:t>
            </w:r>
            <w:r w:rsidRPr="5B8A29BB">
              <w:rPr>
                <w:rFonts w:eastAsia="EB Garamond"/>
                <w:color w:val="1F487C"/>
                <w:sz w:val="20"/>
                <w:szCs w:val="20"/>
              </w:rPr>
              <w:lastRenderedPageBreak/>
              <w:t>questão de direito, com grande repercussão social.</w:t>
            </w:r>
          </w:p>
          <w:p w14:paraId="5023141B" w14:textId="1ACCF224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F3B140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2C75D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64355A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96511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7417778" w14:textId="605FC160" w:rsidR="00CE174B" w:rsidRDefault="00CE174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D416E94" w14:textId="2EF188CA" w:rsidR="00CE174B" w:rsidRDefault="00CE174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6CCE3DF" w14:textId="5733F79F" w:rsidR="00CE174B" w:rsidRDefault="6A74A450" w:rsidP="73973644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5B8A29BB">
              <w:rPr>
                <w:rFonts w:eastAsia="EB Garamond"/>
                <w:color w:val="1F487C"/>
                <w:sz w:val="20"/>
                <w:szCs w:val="20"/>
              </w:rPr>
              <w:t>Complemente o texto, demonstrando a ausência de</w:t>
            </w:r>
            <w:r w:rsidR="3C139155" w:rsidRPr="5B8A29BB">
              <w:rPr>
                <w:rFonts w:eastAsia="EB Garamond"/>
                <w:color w:val="1F487C"/>
                <w:sz w:val="20"/>
                <w:szCs w:val="20"/>
              </w:rPr>
              <w:t xml:space="preserve"> repetição em múltiplos processos</w:t>
            </w:r>
            <w:r w:rsidR="064003C4" w:rsidRPr="5B8A29BB">
              <w:rPr>
                <w:rFonts w:eastAsia="EB Garamond"/>
                <w:color w:val="1F487C"/>
                <w:sz w:val="20"/>
                <w:szCs w:val="20"/>
              </w:rPr>
              <w:t xml:space="preserve">, capaz de afastar o cabimento de IRDR </w:t>
            </w:r>
            <w:r w:rsidR="0061135F">
              <w:rPr>
                <w:rFonts w:eastAsia="EB Garamond"/>
                <w:color w:val="1F487C"/>
                <w:sz w:val="20"/>
                <w:szCs w:val="20"/>
              </w:rPr>
              <w:t xml:space="preserve">e caracterizar </w:t>
            </w:r>
            <w:r w:rsidR="064003C4" w:rsidRPr="5B8A29BB">
              <w:rPr>
                <w:rFonts w:eastAsia="EB Garamond"/>
                <w:color w:val="1F487C"/>
                <w:sz w:val="20"/>
                <w:szCs w:val="20"/>
              </w:rPr>
              <w:t xml:space="preserve">o </w:t>
            </w:r>
            <w:r w:rsidR="0061135F">
              <w:rPr>
                <w:rFonts w:eastAsia="EB Garamond"/>
                <w:color w:val="1F487C"/>
                <w:sz w:val="20"/>
                <w:szCs w:val="20"/>
              </w:rPr>
              <w:t>cabimento</w:t>
            </w:r>
            <w:r w:rsidR="064003C4" w:rsidRPr="5B8A29BB">
              <w:rPr>
                <w:rFonts w:eastAsia="EB Garamond"/>
                <w:color w:val="1F487C"/>
                <w:sz w:val="20"/>
                <w:szCs w:val="20"/>
              </w:rPr>
              <w:t xml:space="preserve"> do IAC.</w:t>
            </w:r>
          </w:p>
          <w:p w14:paraId="42C6D79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E1831B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E11D2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1126E5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DE403A5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2431C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9E398E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6287F2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E93A6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84BA73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4B3F2E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D34F5C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B4020A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D7B270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F904CB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6971CD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A1F701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3EFCA4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F96A72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95CD1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220BBB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3CB595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D9C8D3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75E05E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FC17F8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A4F722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AE48A4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DBBACC3" w14:textId="2A2EBDBC" w:rsidR="73973644" w:rsidRDefault="73973644" w:rsidP="73973644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BA23CB9" w14:textId="71737A38" w:rsidR="5B8A29BB" w:rsidRDefault="5B8A29BB" w:rsidP="5B8A29BB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4A1837B" w14:textId="5C953B57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73973644">
              <w:rPr>
                <w:rFonts w:eastAsia="EB Garamond"/>
                <w:color w:val="548DD4" w:themeColor="text2" w:themeTint="99"/>
                <w:sz w:val="20"/>
                <w:szCs w:val="20"/>
              </w:rPr>
              <w:t>Assinale o formulador do pedido</w:t>
            </w:r>
            <w:r w:rsidRPr="73973644">
              <w:rPr>
                <w:color w:val="548DD4" w:themeColor="text2" w:themeTint="99"/>
                <w:sz w:val="20"/>
                <w:szCs w:val="20"/>
              </w:rPr>
              <w:t>.</w:t>
            </w:r>
          </w:p>
          <w:p w14:paraId="450EA2D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DD355C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81F0B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7AAFB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EE48E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908EB2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21FD38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FE2DD9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735753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0EE36C" w14:textId="27F7840A" w:rsidR="5B8A29BB" w:rsidRDefault="5B8A29BB" w:rsidP="5B8A29B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C2FA727" w14:textId="6F433094" w:rsidR="43F29881" w:rsidRDefault="43F29881" w:rsidP="43F29881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DDEC595" w14:textId="032B3E73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5B8A29BB">
              <w:rPr>
                <w:rFonts w:eastAsia="EB Garamond"/>
                <w:color w:val="1F487C"/>
                <w:sz w:val="20"/>
                <w:szCs w:val="20"/>
              </w:rPr>
              <w:t>Assinale os itens correspondentes aos anexos do presente pedido.</w:t>
            </w:r>
          </w:p>
          <w:p w14:paraId="74869460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87F57B8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738AF4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6ABBD8F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6BBA33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A6444D4" w14:textId="269238A8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C2AE538" w14:textId="1B0969BB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92EF5A2" w14:textId="592E4046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4A68297" w14:textId="14BE7FB5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5AB1FB83" w14:textId="787310F9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A446DB1" w14:textId="4196CF1A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D6457D6" w14:textId="41AE5625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19A844B9" w14:textId="43E89974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C40A23E" w14:textId="1BBF2D5A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372E83D" w14:textId="2E3E2D43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13EEFD5" w14:textId="4A64A0A1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01144E6" w14:textId="7940EC7A" w:rsidR="00CE174B" w:rsidRDefault="00CD6963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73973644">
              <w:rPr>
                <w:rFonts w:eastAsia="EB Garamond"/>
                <w:color w:val="548DD4" w:themeColor="text2" w:themeTint="99"/>
                <w:sz w:val="20"/>
                <w:szCs w:val="20"/>
              </w:rPr>
              <w:t>Discorra sobre a questão unicamente de direito.</w:t>
            </w:r>
          </w:p>
          <w:p w14:paraId="797E50C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8E0F911" w14:textId="22EA093B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7C7FDB11" w14:textId="25BE86BC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369F349" w14:textId="5D3630D5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77B24999" w14:textId="6E8B492D" w:rsidR="00CE174B" w:rsidRDefault="00CE174B" w:rsidP="43F29881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C0A7C0B" w14:textId="0AEC1033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3F29881">
              <w:rPr>
                <w:rFonts w:eastAsia="EB Garamond"/>
                <w:color w:val="1F487C"/>
                <w:sz w:val="20"/>
                <w:szCs w:val="20"/>
              </w:rPr>
              <w:t>Apresente, novamente, a questão submetida, tendo o cuidado de delimitar a discussão pretendida, tanto quanto possível.</w:t>
            </w:r>
          </w:p>
          <w:p w14:paraId="0C21DEA9" w14:textId="45496236" w:rsidR="21BC7059" w:rsidRDefault="21BC7059" w:rsidP="5609FB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79EC4B9F" w14:textId="07B8FA8A" w:rsidR="5609FB59" w:rsidRDefault="5609FB59" w:rsidP="5609FB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6348A74" w14:textId="5035E01B" w:rsidR="73973644" w:rsidRDefault="73973644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DA936DE" w14:textId="02A77050" w:rsidR="00CE174B" w:rsidRDefault="00CD6963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73973644">
              <w:rPr>
                <w:rFonts w:eastAsia="EB Garamond"/>
                <w:color w:val="548DD4" w:themeColor="text2" w:themeTint="99"/>
                <w:sz w:val="20"/>
                <w:szCs w:val="20"/>
              </w:rPr>
              <w:t>Assinatura do proponente</w:t>
            </w:r>
          </w:p>
          <w:p w14:paraId="028A6A01" w14:textId="72AB847E" w:rsidR="21BC7059" w:rsidRDefault="21BC7059" w:rsidP="21BC70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75CADFAF" w14:textId="1250BEAB" w:rsidR="00CE174B" w:rsidRDefault="00CE174B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D4F3AFD" w14:textId="512755BB" w:rsidR="00CE174B" w:rsidRDefault="00CD6963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73973644">
              <w:rPr>
                <w:rFonts w:eastAsia="EB Garamond"/>
                <w:color w:val="548DD4" w:themeColor="text2" w:themeTint="99"/>
                <w:sz w:val="20"/>
                <w:szCs w:val="20"/>
              </w:rPr>
              <w:t>Cargo/função do proponente</w:t>
            </w:r>
          </w:p>
          <w:p w14:paraId="1C0157D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691E7B2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26770C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CBEED82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</w:tc>
        <w:tc>
          <w:tcPr>
            <w:tcW w:w="754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E336BA" w14:textId="7A877FB6" w:rsidR="00CE174B" w:rsidRPr="006572BB" w:rsidRDefault="00CD6963" w:rsidP="006572BB">
            <w:pPr>
              <w:pStyle w:val="NormalWeb"/>
              <w:spacing w:before="280" w:after="160" w:afterAutospacing="0" w:line="360" w:lineRule="auto"/>
              <w:jc w:val="both"/>
              <w:rPr>
                <w:rStyle w:val="Forte"/>
                <w:bCs w:val="0"/>
              </w:rPr>
            </w:pPr>
            <w:r w:rsidRPr="006572BB">
              <w:rPr>
                <w:rStyle w:val="Forte"/>
                <w:bCs w:val="0"/>
              </w:rPr>
              <w:lastRenderedPageBreak/>
              <w:t>EXCELENTÍSSIM</w:t>
            </w:r>
            <w:r w:rsidR="68110402" w:rsidRPr="006572BB">
              <w:rPr>
                <w:rStyle w:val="Forte"/>
                <w:bCs w:val="0"/>
              </w:rPr>
              <w:t xml:space="preserve">A </w:t>
            </w:r>
            <w:r w:rsidRPr="006572BB">
              <w:rPr>
                <w:rStyle w:val="Forte"/>
                <w:bCs w:val="0"/>
              </w:rPr>
              <w:t>SENHORA DESEMBARGADORA PRESIDENTE DO TRIBUNAL DE JUSTIÇA D</w:t>
            </w:r>
            <w:r w:rsidR="604525CA" w:rsidRPr="006572BB">
              <w:rPr>
                <w:rStyle w:val="Forte"/>
                <w:bCs w:val="0"/>
              </w:rPr>
              <w:t>O</w:t>
            </w:r>
            <w:r w:rsidR="003A52A1" w:rsidRPr="006572BB">
              <w:rPr>
                <w:rStyle w:val="Forte"/>
                <w:bCs w:val="0"/>
              </w:rPr>
              <w:t xml:space="preserve"> PARÁ</w:t>
            </w:r>
          </w:p>
          <w:p w14:paraId="6E36661F" w14:textId="77777777" w:rsidR="00CE174B" w:rsidRDefault="00CE174B">
            <w:pPr>
              <w:pStyle w:val="NormalWeb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70257ED0" w14:textId="412A6098" w:rsidR="00CE174B" w:rsidRDefault="00CE174B" w:rsidP="43F29881">
            <w:pPr>
              <w:pStyle w:val="NormalWeb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6CA5327C" w14:textId="63D39878" w:rsidR="00CE174B" w:rsidRPr="006572BB" w:rsidRDefault="00CD6963" w:rsidP="21BC7059">
            <w:pPr>
              <w:pStyle w:val="NormalWeb"/>
              <w:spacing w:before="280" w:after="160" w:afterAutospacing="0" w:line="360" w:lineRule="auto"/>
              <w:jc w:val="both"/>
              <w:rPr>
                <w:b/>
              </w:rPr>
            </w:pPr>
            <w:r w:rsidRPr="006572BB">
              <w:rPr>
                <w:rFonts w:eastAsia="EB Garamond"/>
                <w:b/>
              </w:rPr>
              <w:t>Processo</w:t>
            </w:r>
            <w:r w:rsidR="7A0351D2" w:rsidRPr="006572BB">
              <w:rPr>
                <w:rFonts w:eastAsia="EB Garamond"/>
                <w:b/>
              </w:rPr>
              <w:t>(s)</w:t>
            </w:r>
            <w:r w:rsidRPr="006572BB">
              <w:rPr>
                <w:rFonts w:eastAsia="EB Garamond"/>
                <w:b/>
              </w:rPr>
              <w:t xml:space="preserve"> </w:t>
            </w:r>
            <w:r w:rsidR="1DF5291A" w:rsidRPr="006572BB">
              <w:rPr>
                <w:b/>
              </w:rPr>
              <w:t>paradigma(s)</w:t>
            </w:r>
            <w:r w:rsidR="006572BB" w:rsidRPr="006572BB">
              <w:rPr>
                <w:b/>
              </w:rPr>
              <w:t>:</w:t>
            </w:r>
            <w:r w:rsidRPr="006572BB">
              <w:rPr>
                <w:rFonts w:eastAsia="EB Garamond"/>
                <w:b/>
              </w:rPr>
              <w:t xml:space="preserve"> </w:t>
            </w:r>
          </w:p>
          <w:p w14:paraId="135E58C4" w14:textId="77777777" w:rsidR="00CE174B" w:rsidRDefault="00CE174B">
            <w:pPr>
              <w:pStyle w:val="NormalWeb"/>
              <w:spacing w:beforeAutospacing="0" w:after="160" w:afterAutospacing="0" w:line="360" w:lineRule="auto"/>
              <w:ind w:left="2268"/>
              <w:jc w:val="both"/>
              <w:rPr>
                <w:color w:val="FF0000"/>
              </w:rPr>
            </w:pPr>
          </w:p>
          <w:p w14:paraId="62EBF9A1" w14:textId="77777777" w:rsidR="00CE174B" w:rsidRDefault="00CE174B">
            <w:pPr>
              <w:pStyle w:val="NormalWeb"/>
              <w:spacing w:beforeAutospacing="0" w:after="160" w:afterAutospacing="0" w:line="360" w:lineRule="auto"/>
              <w:ind w:left="2268"/>
              <w:jc w:val="both"/>
              <w:rPr>
                <w:color w:val="FF0000"/>
              </w:rPr>
            </w:pPr>
          </w:p>
          <w:p w14:paraId="440E3DEF" w14:textId="5BA26606" w:rsidR="73973644" w:rsidRDefault="73973644" w:rsidP="73973644">
            <w:pPr>
              <w:pStyle w:val="NormalWeb"/>
              <w:spacing w:beforeAutospacing="0" w:after="160" w:afterAutospacing="0" w:line="360" w:lineRule="auto"/>
              <w:jc w:val="both"/>
              <w:rPr>
                <w:color w:val="FF0000"/>
              </w:rPr>
            </w:pPr>
          </w:p>
          <w:p w14:paraId="74F3FA4F" w14:textId="4D0F407A" w:rsidR="00CD6963" w:rsidRPr="0061135F" w:rsidRDefault="7876216B" w:rsidP="0061135F">
            <w:pPr>
              <w:pStyle w:val="NormalWeb"/>
              <w:spacing w:beforeAutospacing="0" w:after="160" w:afterAutospacing="0" w:line="360" w:lineRule="auto"/>
              <w:jc w:val="both"/>
            </w:pPr>
            <w:r w:rsidRPr="224C5AA5">
              <w:rPr>
                <w:color w:val="FF0000"/>
              </w:rPr>
              <w:t xml:space="preserve">                </w:t>
            </w:r>
            <w:r w:rsidR="00CD6963" w:rsidRPr="224C5AA5">
              <w:rPr>
                <w:color w:val="FF0000"/>
              </w:rPr>
              <w:t>NOME DO AUTOR</w:t>
            </w:r>
            <w:r w:rsidR="00CD6963">
              <w:t xml:space="preserve">, devidamente qualificado nos autos em epígrafe, vem, respeitosamente, à presença de Vossa Excelência, requerer a instauração de </w:t>
            </w:r>
            <w:r w:rsidR="00CD6963" w:rsidRPr="59299423">
              <w:rPr>
                <w:rStyle w:val="Forte"/>
              </w:rPr>
              <w:t xml:space="preserve">INCIDENTE DE </w:t>
            </w:r>
            <w:r w:rsidR="521D92A9" w:rsidRPr="59299423">
              <w:rPr>
                <w:rStyle w:val="Forte"/>
              </w:rPr>
              <w:t>ASSUNÇÃO DE COMPETÊNCIA</w:t>
            </w:r>
            <w:r w:rsidR="00CD6963" w:rsidRPr="59299423">
              <w:rPr>
                <w:rStyle w:val="Forte"/>
              </w:rPr>
              <w:t xml:space="preserve"> – I</w:t>
            </w:r>
            <w:r w:rsidR="2F82EEA0" w:rsidRPr="59299423">
              <w:rPr>
                <w:rStyle w:val="Forte"/>
              </w:rPr>
              <w:t>AC</w:t>
            </w:r>
            <w:r w:rsidR="0061135F" w:rsidRPr="0061135F">
              <w:rPr>
                <w:rStyle w:val="Forte"/>
                <w:b w:val="0"/>
                <w:bCs w:val="0"/>
              </w:rPr>
              <w:t>,</w:t>
            </w:r>
            <w:r w:rsidR="2F82EEA0" w:rsidRPr="59299423">
              <w:rPr>
                <w:rStyle w:val="Forte"/>
              </w:rPr>
              <w:t xml:space="preserve"> </w:t>
            </w:r>
            <w:r w:rsidR="00CD6963" w:rsidRPr="43F29881">
              <w:rPr>
                <w:rFonts w:eastAsia="EB Garamond"/>
              </w:rPr>
              <w:t>com fulcro no artigo 9</w:t>
            </w:r>
            <w:r w:rsidR="756365A7" w:rsidRPr="43F29881">
              <w:rPr>
                <w:rFonts w:eastAsia="EB Garamond"/>
              </w:rPr>
              <w:t>47</w:t>
            </w:r>
            <w:r w:rsidR="00CD6963" w:rsidRPr="43F29881">
              <w:rPr>
                <w:rFonts w:eastAsia="EB Garamond"/>
              </w:rPr>
              <w:t xml:space="preserve"> do CPC</w:t>
            </w:r>
            <w:r w:rsidR="0061135F">
              <w:rPr>
                <w:rFonts w:eastAsia="EB Garamond"/>
              </w:rPr>
              <w:t xml:space="preserve"> e </w:t>
            </w:r>
            <w:r w:rsidR="00CD6963" w:rsidRPr="43F29881">
              <w:rPr>
                <w:rFonts w:eastAsia="EB Garamond"/>
              </w:rPr>
              <w:t xml:space="preserve">artigo </w:t>
            </w:r>
            <w:r w:rsidR="5B6984AB" w:rsidRPr="43F29881">
              <w:rPr>
                <w:rFonts w:eastAsia="EB Garamond"/>
              </w:rPr>
              <w:t>18</w:t>
            </w:r>
            <w:r w:rsidR="47752B88" w:rsidRPr="43F29881">
              <w:rPr>
                <w:rFonts w:eastAsia="EB Garamond"/>
              </w:rPr>
              <w:t>4</w:t>
            </w:r>
            <w:r w:rsidR="00CD6963" w:rsidRPr="43F29881">
              <w:rPr>
                <w:rFonts w:eastAsia="EB Garamond"/>
              </w:rPr>
              <w:t xml:space="preserve"> do RITJ</w:t>
            </w:r>
            <w:r w:rsidR="7C9B4434" w:rsidRPr="43F29881">
              <w:rPr>
                <w:rFonts w:eastAsia="EB Garamond"/>
              </w:rPr>
              <w:t>PA</w:t>
            </w:r>
            <w:r w:rsidR="00CD6963" w:rsidRPr="43F29881">
              <w:rPr>
                <w:rFonts w:eastAsia="EB Garamond"/>
              </w:rPr>
              <w:t xml:space="preserve">, a fim </w:t>
            </w:r>
            <w:r w:rsidR="49A0855F" w:rsidRPr="43F29881">
              <w:rPr>
                <w:rFonts w:eastAsia="EB Garamond"/>
              </w:rPr>
              <w:t xml:space="preserve">de </w:t>
            </w:r>
            <w:r w:rsidR="2B4957CE" w:rsidRPr="43F29881">
              <w:rPr>
                <w:rFonts w:eastAsia="EB Garamond"/>
                <w:b/>
                <w:bCs/>
              </w:rPr>
              <w:t>COMPOR</w:t>
            </w:r>
            <w:r w:rsidR="49A0855F" w:rsidRPr="43F29881">
              <w:rPr>
                <w:rFonts w:eastAsia="EB Garamond"/>
                <w:color w:val="FF0000"/>
              </w:rPr>
              <w:t xml:space="preserve"> </w:t>
            </w:r>
            <w:r w:rsidR="0061135F" w:rsidRPr="0061135F">
              <w:rPr>
                <w:rFonts w:eastAsia="EB Garamond"/>
                <w:b/>
                <w:bCs/>
              </w:rPr>
              <w:t>DIVERGÊNCIA</w:t>
            </w:r>
            <w:r w:rsidR="49A0855F" w:rsidRPr="43F29881">
              <w:rPr>
                <w:rFonts w:eastAsia="EB Garamond"/>
              </w:rPr>
              <w:t xml:space="preserve"> entre </w:t>
            </w:r>
            <w:r w:rsidR="62C68803" w:rsidRPr="43F29881">
              <w:rPr>
                <w:rFonts w:eastAsia="EB Garamond"/>
              </w:rPr>
              <w:t>magistrados, turmas ou sessões</w:t>
            </w:r>
            <w:r w:rsidR="49A0855F" w:rsidRPr="43F29881">
              <w:rPr>
                <w:rFonts w:eastAsia="EB Garamond"/>
              </w:rPr>
              <w:t xml:space="preserve"> do tribunal,</w:t>
            </w:r>
            <w:r w:rsidR="00CD6963" w:rsidRPr="43F29881">
              <w:rPr>
                <w:rFonts w:eastAsia="EB Garamond"/>
              </w:rPr>
              <w:t xml:space="preserve"> </w:t>
            </w:r>
            <w:r w:rsidR="21AEEB8B" w:rsidRPr="43F29881">
              <w:rPr>
                <w:rFonts w:eastAsia="EB Garamond"/>
              </w:rPr>
              <w:t>cujos efeitos são inegavelmente perversos à segurança jurídica e previsibilidade do sistema processual</w:t>
            </w:r>
            <w:r w:rsidR="25188331" w:rsidRPr="43F29881">
              <w:rPr>
                <w:rFonts w:eastAsia="EB Garamond"/>
              </w:rPr>
              <w:t xml:space="preserve">, bem como </w:t>
            </w:r>
            <w:r w:rsidR="25188331" w:rsidRPr="43F29881">
              <w:rPr>
                <w:rFonts w:eastAsia="EB Garamond"/>
                <w:b/>
                <w:bCs/>
              </w:rPr>
              <w:t>QUALIFICAR</w:t>
            </w:r>
            <w:r w:rsidR="25188331" w:rsidRPr="43F29881">
              <w:rPr>
                <w:rFonts w:eastAsia="EB Garamond"/>
              </w:rPr>
              <w:t xml:space="preserve"> a jurisprudência do Poder Judiciário paraense.</w:t>
            </w:r>
          </w:p>
          <w:p w14:paraId="7A44AE04" w14:textId="5E2CB599" w:rsidR="371550B0" w:rsidRDefault="371550B0" w:rsidP="5B8A29B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B8A29BB">
              <w:rPr>
                <w:rFonts w:eastAsia="EB Garamond"/>
              </w:rPr>
              <w:t>Isso porque, verifica-se haver decisões judiciais divergentes quanto à referida questão, conforme se demonstra a seguir, esclarecendo-se os entendimentos adotados e os pontos de divergência entre eles.</w:t>
            </w:r>
          </w:p>
          <w:p w14:paraId="39E51FDD" w14:textId="0B5B2BF0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B8A29BB">
              <w:rPr>
                <w:rFonts w:eastAsia="EB Garamond"/>
              </w:rPr>
              <w:t>Pass</w:t>
            </w:r>
            <w:r w:rsidR="00840045" w:rsidRPr="5B8A29BB">
              <w:rPr>
                <w:rFonts w:eastAsia="EB Garamond"/>
              </w:rPr>
              <w:t>a</w:t>
            </w:r>
            <w:r w:rsidRPr="5B8A29BB">
              <w:rPr>
                <w:rFonts w:eastAsia="EB Garamond"/>
              </w:rPr>
              <w:t xml:space="preserve">-se à pormenorizada caracterização da </w:t>
            </w:r>
            <w:r w:rsidR="415E7F2B" w:rsidRPr="5B8A29BB">
              <w:rPr>
                <w:rFonts w:eastAsia="EB Garamond"/>
              </w:rPr>
              <w:t>questão objeto deste incidente</w:t>
            </w:r>
            <w:r w:rsidRPr="5B8A29BB">
              <w:rPr>
                <w:rFonts w:eastAsia="EB Garamond"/>
              </w:rPr>
              <w:t xml:space="preserve">, a fim de delimitar a questão de direito que ora se submete à análise desse egrégio Tribunal. </w:t>
            </w:r>
          </w:p>
          <w:p w14:paraId="0DB38EB4" w14:textId="34894600" w:rsidR="5B8A29BB" w:rsidRDefault="5B8A29BB" w:rsidP="5B8A29B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</w:p>
          <w:p w14:paraId="5F07D11E" w14:textId="3400E8E5" w:rsidR="00CE174B" w:rsidRDefault="00CD6963" w:rsidP="224C5AA5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224C5AA5">
              <w:rPr>
                <w:rFonts w:eastAsia="EB Garamond"/>
                <w:b/>
                <w:bCs/>
              </w:rPr>
              <w:t>QUESTÃO SUBMETIDA</w:t>
            </w:r>
          </w:p>
          <w:p w14:paraId="5585754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lastRenderedPageBreak/>
              <w:t xml:space="preserve">Submete-se à apreciação do competente órgão julgador questão de direito relativa a </w:t>
            </w:r>
          </w:p>
          <w:p w14:paraId="5BEDE43F" w14:textId="478D2436" w:rsidR="59299423" w:rsidRDefault="59299423" w:rsidP="59299423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0CB305AF" w14:textId="77777777" w:rsidR="006572BB" w:rsidRDefault="006572BB" w:rsidP="59299423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4AEDCACA" w14:textId="77777777" w:rsidR="006572BB" w:rsidRDefault="006572BB" w:rsidP="59299423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1F897469" w14:textId="77777777" w:rsidR="006572BB" w:rsidRDefault="006572BB" w:rsidP="59299423">
            <w:pPr>
              <w:pStyle w:val="LO-normal"/>
              <w:spacing w:before="60" w:after="60" w:line="360" w:lineRule="auto"/>
              <w:jc w:val="both"/>
            </w:pPr>
          </w:p>
          <w:p w14:paraId="79C7502D" w14:textId="7743AF7E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noProof/>
              </w:rPr>
            </w:pPr>
            <w:r w:rsidRPr="43F29881">
              <w:rPr>
                <w:rFonts w:eastAsia="EB Garamond"/>
              </w:rPr>
              <w:t xml:space="preserve">Quanto ao tema, constata-se haver julgados que entendem </w:t>
            </w:r>
          </w:p>
          <w:p w14:paraId="7AB05C52" w14:textId="77777777" w:rsidR="006572BB" w:rsidRDefault="006572BB">
            <w:pPr>
              <w:pStyle w:val="LO-normal"/>
              <w:spacing w:before="60" w:after="60" w:line="360" w:lineRule="auto"/>
              <w:ind w:firstLine="708"/>
              <w:jc w:val="both"/>
              <w:rPr>
                <w:noProof/>
              </w:rPr>
            </w:pPr>
          </w:p>
          <w:p w14:paraId="5AD2B730" w14:textId="77777777" w:rsidR="006572BB" w:rsidRDefault="006572BB">
            <w:pPr>
              <w:pStyle w:val="LO-normal"/>
              <w:spacing w:before="60" w:after="60" w:line="360" w:lineRule="auto"/>
              <w:ind w:firstLine="708"/>
              <w:jc w:val="both"/>
              <w:rPr>
                <w:noProof/>
              </w:rPr>
            </w:pPr>
          </w:p>
          <w:p w14:paraId="60CAA0F3" w14:textId="77777777" w:rsidR="006572BB" w:rsidRDefault="006572BB">
            <w:pPr>
              <w:pStyle w:val="LO-normal"/>
              <w:spacing w:before="60" w:after="60" w:line="360" w:lineRule="auto"/>
              <w:ind w:firstLine="708"/>
              <w:jc w:val="both"/>
              <w:rPr>
                <w:noProof/>
              </w:rPr>
            </w:pPr>
          </w:p>
          <w:p w14:paraId="588D756C" w14:textId="77777777" w:rsidR="006572BB" w:rsidRDefault="006572B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3D6B1D6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E82F4F1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São citações exemplificativas desse primeiro entendimento:</w:t>
            </w:r>
          </w:p>
          <w:p w14:paraId="17DBC151" w14:textId="45DEA6B2" w:rsidR="00CE174B" w:rsidRDefault="00CE174B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09ADDB2D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69452C38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6F8BD81B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73739F6" w14:textId="77777777" w:rsidR="00CD6963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Por outro lado, há julgados no sentido de </w:t>
            </w:r>
          </w:p>
          <w:p w14:paraId="5B2F9378" w14:textId="6DBDFF06" w:rsidR="00CD6963" w:rsidRDefault="00CD6963" w:rsidP="43F29881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2CED736E" w14:textId="77777777" w:rsidR="006572BB" w:rsidRDefault="006572BB" w:rsidP="43F29881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2C720C51" w14:textId="77777777" w:rsidR="006572BB" w:rsidRDefault="006572BB" w:rsidP="43F29881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2E4F5299" w14:textId="77777777" w:rsidR="006572BB" w:rsidRDefault="006572BB" w:rsidP="43F29881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58E6DD4E" w14:textId="77777777" w:rsidR="00CD6963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B98AB65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</w:rPr>
              <w:t>São citações exemplificativas do segundo entendimento adotado:</w:t>
            </w:r>
          </w:p>
          <w:p w14:paraId="5E4A06FE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3B88899E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D6F3DC0" w14:textId="77777777" w:rsidR="00CD6963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lastRenderedPageBreak/>
              <w:t>Portanto, o cerne da controvérsia reside em</w:t>
            </w:r>
          </w:p>
          <w:p w14:paraId="69E2BB2B" w14:textId="58FB37E1" w:rsidR="00CE174B" w:rsidRDefault="00CE174B" w:rsidP="00CD6963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389BAB60" w14:textId="77777777" w:rsidR="006572BB" w:rsidRDefault="006572BB" w:rsidP="00CD6963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470A4649" w14:textId="77777777" w:rsidR="006572BB" w:rsidRDefault="006572BB" w:rsidP="00CD6963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70373223" w14:textId="77777777" w:rsidR="006572BB" w:rsidRDefault="006572BB" w:rsidP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57C0D796" w14:textId="77777777" w:rsidR="00CD6963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7B6339C3" w14:textId="42581BCA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3F29881">
              <w:rPr>
                <w:rFonts w:eastAsia="EB Garamond"/>
              </w:rPr>
              <w:t xml:space="preserve">Uma vez caracterizada a </w:t>
            </w:r>
            <w:r w:rsidR="67380762" w:rsidRPr="43F29881">
              <w:rPr>
                <w:rFonts w:eastAsia="EB Garamond"/>
              </w:rPr>
              <w:t>divergência de</w:t>
            </w:r>
            <w:r w:rsidR="188E50ED" w:rsidRPr="43F29881">
              <w:rPr>
                <w:rFonts w:eastAsia="EB Garamond"/>
              </w:rPr>
              <w:t xml:space="preserve"> entendimento</w:t>
            </w:r>
            <w:r w:rsidR="3A417F55" w:rsidRPr="43F29881">
              <w:rPr>
                <w:rFonts w:eastAsia="EB Garamond"/>
              </w:rPr>
              <w:t>s</w:t>
            </w:r>
            <w:r w:rsidR="188E50ED" w:rsidRPr="43F29881">
              <w:rPr>
                <w:rFonts w:eastAsia="EB Garamond"/>
              </w:rPr>
              <w:t xml:space="preserve"> </w:t>
            </w:r>
            <w:r w:rsidR="6B4E8604" w:rsidRPr="43F29881">
              <w:rPr>
                <w:rFonts w:eastAsia="EB Garamond"/>
              </w:rPr>
              <w:t xml:space="preserve">a respeito de </w:t>
            </w:r>
            <w:r w:rsidR="188E50ED" w:rsidRPr="43F29881">
              <w:rPr>
                <w:rFonts w:eastAsia="EB Garamond"/>
              </w:rPr>
              <w:t>questão jurídica unicamente de direito</w:t>
            </w:r>
            <w:r w:rsidR="63092A66" w:rsidRPr="43F29881">
              <w:rPr>
                <w:rFonts w:eastAsia="EB Garamond"/>
              </w:rPr>
              <w:t>,</w:t>
            </w:r>
            <w:r w:rsidR="71065B1C" w:rsidRPr="43F29881">
              <w:rPr>
                <w:rFonts w:eastAsia="EB Garamond"/>
              </w:rPr>
              <w:t xml:space="preserve"> </w:t>
            </w:r>
            <w:r w:rsidRPr="43F29881">
              <w:rPr>
                <w:rFonts w:eastAsia="EB Garamond"/>
              </w:rPr>
              <w:t>passa-se à comprovação dos requisitos legais exigidos para a instauração do I</w:t>
            </w:r>
            <w:r w:rsidR="3A6B560C" w:rsidRPr="43F29881">
              <w:rPr>
                <w:rFonts w:eastAsia="EB Garamond"/>
              </w:rPr>
              <w:t>AC</w:t>
            </w:r>
            <w:r w:rsidRPr="43F29881">
              <w:rPr>
                <w:rFonts w:eastAsia="EB Garamond"/>
              </w:rPr>
              <w:t>.</w:t>
            </w:r>
          </w:p>
          <w:p w14:paraId="0D142F6F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C937C87" w14:textId="04FCC4AF" w:rsidR="00CE174B" w:rsidRDefault="00CD6963" w:rsidP="5929942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59299423">
              <w:rPr>
                <w:rFonts w:eastAsia="EB Garamond"/>
                <w:b/>
                <w:bCs/>
              </w:rPr>
              <w:t>CABIMENTO DO I</w:t>
            </w:r>
            <w:r w:rsidR="6661B9A0" w:rsidRPr="59299423">
              <w:rPr>
                <w:rFonts w:eastAsia="EB Garamond"/>
                <w:b/>
                <w:bCs/>
              </w:rPr>
              <w:t>AC</w:t>
            </w:r>
          </w:p>
          <w:p w14:paraId="4DF83DD9" w14:textId="113F100E" w:rsidR="00CD6963" w:rsidRDefault="00CD6963" w:rsidP="43F29881">
            <w:pPr>
              <w:pStyle w:val="LO-normal"/>
              <w:spacing w:before="60" w:after="60" w:line="360" w:lineRule="auto"/>
              <w:ind w:firstLine="708"/>
              <w:jc w:val="both"/>
              <w:rPr>
                <w:color w:val="000000" w:themeColor="text1"/>
              </w:rPr>
            </w:pPr>
            <w:r w:rsidRPr="43F29881">
              <w:t>O artigo 97</w:t>
            </w:r>
            <w:r w:rsidR="46C68BE3" w:rsidRPr="43F29881">
              <w:t>4</w:t>
            </w:r>
            <w:r w:rsidRPr="43F29881">
              <w:t xml:space="preserve"> do CPC dispõe que o I</w:t>
            </w:r>
            <w:r w:rsidR="19FC00AD" w:rsidRPr="43F29881">
              <w:t>AC</w:t>
            </w:r>
            <w:r w:rsidRPr="43F29881">
              <w:t xml:space="preserve"> será </w:t>
            </w:r>
            <w:r w:rsidR="00405378" w:rsidRPr="43F29881">
              <w:t xml:space="preserve">cabível </w:t>
            </w:r>
            <w:r w:rsidRPr="43F29881">
              <w:t xml:space="preserve">quando </w:t>
            </w:r>
            <w:r w:rsidR="7870E1F1" w:rsidRPr="43F29881">
              <w:rPr>
                <w:color w:val="000000" w:themeColor="text1"/>
              </w:rPr>
              <w:t>envolver relevante questão de direito, com grande repercussão social, sem repetição em múltiplos processos.</w:t>
            </w:r>
          </w:p>
          <w:p w14:paraId="43462D94" w14:textId="6D6429C2" w:rsidR="59299423" w:rsidRDefault="59299423" w:rsidP="43F29881">
            <w:pPr>
              <w:pStyle w:val="LO-normal"/>
              <w:spacing w:before="60" w:after="60" w:line="360" w:lineRule="auto"/>
              <w:ind w:firstLine="708"/>
              <w:jc w:val="both"/>
              <w:rPr>
                <w:b/>
                <w:bCs/>
              </w:rPr>
            </w:pPr>
          </w:p>
          <w:p w14:paraId="41AF49D5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  <w:b/>
              </w:rPr>
              <w:t>REQUISITOS LEGAIS DE ADMISSIBILIDADE</w:t>
            </w:r>
          </w:p>
          <w:p w14:paraId="120C4E94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6333FC8" w14:textId="78ADF8FB" w:rsidR="00CE174B" w:rsidRDefault="00CD6963" w:rsidP="5929942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73973644">
              <w:rPr>
                <w:rFonts w:eastAsia="EB Garamond"/>
                <w:b/>
                <w:bCs/>
              </w:rPr>
              <w:t xml:space="preserve">I – </w:t>
            </w:r>
            <w:r w:rsidR="7EAE6E28" w:rsidRPr="73973644">
              <w:rPr>
                <w:rFonts w:eastAsia="EB Garamond"/>
                <w:b/>
                <w:bCs/>
              </w:rPr>
              <w:t>Relevante questão de direito</w:t>
            </w:r>
            <w:r w:rsidR="18DF9946" w:rsidRPr="73973644">
              <w:rPr>
                <w:rFonts w:eastAsia="EB Garamond"/>
                <w:b/>
                <w:bCs/>
              </w:rPr>
              <w:t>, com grande repercussão social</w:t>
            </w:r>
            <w:r w:rsidR="7EAE6E28" w:rsidRPr="73973644">
              <w:rPr>
                <w:rFonts w:eastAsia="EB Garamond"/>
                <w:b/>
                <w:bCs/>
              </w:rPr>
              <w:t xml:space="preserve"> </w:t>
            </w:r>
          </w:p>
          <w:p w14:paraId="36E6D5BC" w14:textId="5EB6F262" w:rsidR="00CD6963" w:rsidRDefault="00CD6963" w:rsidP="73973644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224C5AA5">
              <w:rPr>
                <w:rFonts w:eastAsia="EB Garamond"/>
              </w:rPr>
              <w:t xml:space="preserve">Exige-se a </w:t>
            </w:r>
            <w:r w:rsidR="31606F25" w:rsidRPr="224C5AA5">
              <w:rPr>
                <w:rFonts w:eastAsia="EB Garamond"/>
              </w:rPr>
              <w:t xml:space="preserve">demonstração </w:t>
            </w:r>
            <w:r w:rsidR="66A87B33" w:rsidRPr="224C5AA5">
              <w:rPr>
                <w:rFonts w:eastAsia="EB Garamond"/>
              </w:rPr>
              <w:t xml:space="preserve">de repercussão social, </w:t>
            </w:r>
            <w:r w:rsidR="5DE21BBA" w:rsidRPr="224C5AA5">
              <w:rPr>
                <w:rFonts w:eastAsia="EB Garamond"/>
              </w:rPr>
              <w:t>cujo objetivo precípuo é assegurar solução uniforme sobre relevantes questões de direito</w:t>
            </w:r>
            <w:r w:rsidR="36B6BBE5" w:rsidRPr="224C5AA5">
              <w:rPr>
                <w:rFonts w:eastAsia="EB Garamond"/>
              </w:rPr>
              <w:t>.</w:t>
            </w:r>
          </w:p>
          <w:p w14:paraId="7ECE2B2B" w14:textId="7CF5597C" w:rsidR="36B6BBE5" w:rsidRDefault="36B6BBE5" w:rsidP="73973644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73973644">
              <w:rPr>
                <w:rFonts w:eastAsia="EB Garamond"/>
              </w:rPr>
              <w:t xml:space="preserve">Isso porque, visa o incidente de assunção de competência, </w:t>
            </w:r>
            <w:r w:rsidR="00CD00D0">
              <w:rPr>
                <w:rFonts w:eastAsia="EB Garamond"/>
              </w:rPr>
              <w:t>simplificar</w:t>
            </w:r>
            <w:r w:rsidRPr="73973644">
              <w:rPr>
                <w:rFonts w:eastAsia="EB Garamond"/>
              </w:rPr>
              <w:t xml:space="preserve"> as exigências procedimentais, imprimindo maior grau de organicidade ao sistema, com </w:t>
            </w:r>
            <w:r w:rsidR="254D6065" w:rsidRPr="73973644">
              <w:rPr>
                <w:rFonts w:eastAsia="EB Garamond"/>
              </w:rPr>
              <w:t>o fim de privilegiar a segurança jurídica.</w:t>
            </w:r>
          </w:p>
          <w:p w14:paraId="42AFC42D" w14:textId="6ECA5072" w:rsidR="00CE174B" w:rsidRDefault="497DBE24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3F29881">
              <w:rPr>
                <w:rFonts w:eastAsia="EB Garamond"/>
              </w:rPr>
              <w:t>Na questão ora suscitada</w:t>
            </w:r>
            <w:r w:rsidR="6C65F0DE" w:rsidRPr="43F29881">
              <w:rPr>
                <w:rFonts w:eastAsia="EB Garamond"/>
              </w:rPr>
              <w:t>,</w:t>
            </w:r>
            <w:r w:rsidRPr="43F29881">
              <w:rPr>
                <w:rFonts w:eastAsia="EB Garamond"/>
              </w:rPr>
              <w:t xml:space="preserve"> a relevância </w:t>
            </w:r>
            <w:r w:rsidR="4FD05C8A" w:rsidRPr="43F29881">
              <w:rPr>
                <w:rFonts w:eastAsia="EB Garamond"/>
              </w:rPr>
              <w:t>da questão de d</w:t>
            </w:r>
            <w:bookmarkStart w:id="0" w:name="_GoBack"/>
            <w:bookmarkEnd w:id="0"/>
            <w:r w:rsidR="4FD05C8A" w:rsidRPr="43F29881">
              <w:rPr>
                <w:rFonts w:eastAsia="EB Garamond"/>
              </w:rPr>
              <w:t>ireito</w:t>
            </w:r>
            <w:r w:rsidR="15CD2C47" w:rsidRPr="43F29881">
              <w:rPr>
                <w:rFonts w:eastAsia="EB Garamond"/>
              </w:rPr>
              <w:t>, com grande repercussão</w:t>
            </w:r>
            <w:r w:rsidR="7EA7AF2C" w:rsidRPr="43F29881">
              <w:rPr>
                <w:rFonts w:eastAsia="EB Garamond"/>
              </w:rPr>
              <w:t xml:space="preserve"> social </w:t>
            </w:r>
            <w:r w:rsidR="4FD05C8A" w:rsidRPr="43F29881">
              <w:rPr>
                <w:rFonts w:eastAsia="EB Garamond"/>
              </w:rPr>
              <w:t xml:space="preserve">revela-se pela  </w:t>
            </w:r>
          </w:p>
          <w:p w14:paraId="271CA723" w14:textId="108B5DD5" w:rsidR="00CE174B" w:rsidRDefault="00CE174B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4D9B6442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5FBE423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AA4706D" w14:textId="7C9C4F57" w:rsidR="00CE174B" w:rsidRDefault="15AC1825" w:rsidP="5929942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73973644">
              <w:rPr>
                <w:rFonts w:eastAsia="EB Garamond"/>
                <w:b/>
                <w:bCs/>
              </w:rPr>
              <w:t>II – Sem repetição em múltiplos processos</w:t>
            </w:r>
          </w:p>
          <w:p w14:paraId="7F4439A0" w14:textId="5A0F2AD7" w:rsidR="08D6E05C" w:rsidRDefault="08D6E05C" w:rsidP="73973644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73973644">
              <w:rPr>
                <w:rFonts w:eastAsia="EB Garamond"/>
              </w:rPr>
              <w:t xml:space="preserve">No caso vertente, </w:t>
            </w:r>
            <w:r w:rsidR="3EB9432F" w:rsidRPr="73973644">
              <w:rPr>
                <w:rFonts w:eastAsia="EB Garamond"/>
              </w:rPr>
              <w:t xml:space="preserve">não obstante vise prevenir ou compor divergência, </w:t>
            </w:r>
            <w:r w:rsidR="11B09F69" w:rsidRPr="73973644">
              <w:rPr>
                <w:rFonts w:eastAsia="EB Garamond"/>
              </w:rPr>
              <w:t xml:space="preserve">não se afere repetição em múltiplos processos, </w:t>
            </w:r>
            <w:r w:rsidR="03408CA3" w:rsidRPr="73973644">
              <w:rPr>
                <w:rFonts w:eastAsia="EB Garamond"/>
              </w:rPr>
              <w:t>capaz de caracterizar o cabimento de IRDR</w:t>
            </w:r>
            <w:r w:rsidR="334DD9DD" w:rsidRPr="73973644">
              <w:rPr>
                <w:rFonts w:eastAsia="EB Garamond"/>
              </w:rPr>
              <w:t>, o que</w:t>
            </w:r>
            <w:r w:rsidR="2D80DF13" w:rsidRPr="73973644">
              <w:rPr>
                <w:rFonts w:eastAsia="EB Garamond"/>
              </w:rPr>
              <w:t xml:space="preserve"> revela o adequado manejo de IAC para qualificar a jurisprudência do Poder Judiciário paraense sobre a questão suscitada.</w:t>
            </w:r>
          </w:p>
          <w:p w14:paraId="3E4D39E1" w14:textId="14039F08" w:rsidR="73973644" w:rsidRDefault="73973644" w:rsidP="73973644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5991254" w14:textId="028B5126" w:rsidR="1C2F1A95" w:rsidRDefault="1C2F1A95" w:rsidP="73973644">
            <w:pPr>
              <w:pStyle w:val="LO-normal"/>
              <w:spacing w:before="60" w:after="60" w:line="360" w:lineRule="auto"/>
              <w:ind w:firstLine="708"/>
              <w:jc w:val="both"/>
              <w:rPr>
                <w:noProof/>
              </w:rPr>
            </w:pPr>
          </w:p>
          <w:p w14:paraId="35B4D3C8" w14:textId="77777777" w:rsidR="006572BB" w:rsidRDefault="006572BB" w:rsidP="73973644">
            <w:pPr>
              <w:pStyle w:val="LO-normal"/>
              <w:spacing w:before="60" w:after="60" w:line="360" w:lineRule="auto"/>
              <w:ind w:firstLine="708"/>
              <w:jc w:val="both"/>
            </w:pPr>
          </w:p>
          <w:p w14:paraId="1DBE535C" w14:textId="77777777" w:rsidR="006572BB" w:rsidRDefault="006572BB" w:rsidP="73973644">
            <w:pPr>
              <w:pStyle w:val="LO-normal"/>
              <w:spacing w:before="60" w:after="60" w:line="360" w:lineRule="auto"/>
              <w:ind w:firstLine="708"/>
              <w:jc w:val="both"/>
            </w:pPr>
          </w:p>
          <w:p w14:paraId="2990C34B" w14:textId="77777777" w:rsidR="006572BB" w:rsidRDefault="006572BB" w:rsidP="73973644">
            <w:pPr>
              <w:pStyle w:val="LO-normal"/>
              <w:spacing w:before="60" w:after="60" w:line="360" w:lineRule="auto"/>
              <w:ind w:firstLine="708"/>
              <w:jc w:val="both"/>
            </w:pPr>
          </w:p>
          <w:p w14:paraId="75C5C10D" w14:textId="2EE58144" w:rsidR="73973644" w:rsidRDefault="73973644" w:rsidP="73973644">
            <w:pPr>
              <w:pStyle w:val="LO-normal"/>
              <w:spacing w:before="60" w:after="60" w:line="360" w:lineRule="auto"/>
              <w:ind w:firstLine="708"/>
              <w:jc w:val="both"/>
            </w:pPr>
          </w:p>
          <w:p w14:paraId="0B1E01A6" w14:textId="77777777" w:rsidR="0061135F" w:rsidRDefault="0061135F" w:rsidP="5929942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</w:p>
          <w:p w14:paraId="7D2A63AE" w14:textId="7FAF8213" w:rsidR="00CE174B" w:rsidRDefault="00CD6963" w:rsidP="5929942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73973644">
              <w:rPr>
                <w:rFonts w:eastAsia="EB Garamond"/>
                <w:b/>
                <w:bCs/>
              </w:rPr>
              <w:t>I</w:t>
            </w:r>
            <w:r w:rsidR="519C76FD" w:rsidRPr="73973644">
              <w:rPr>
                <w:rFonts w:eastAsia="EB Garamond"/>
                <w:b/>
                <w:bCs/>
              </w:rPr>
              <w:t>II</w:t>
            </w:r>
            <w:r w:rsidRPr="73973644">
              <w:rPr>
                <w:rFonts w:eastAsia="EB Garamond"/>
                <w:b/>
                <w:bCs/>
              </w:rPr>
              <w:t xml:space="preserve"> – Inexistência de afetação por tribunal superior</w:t>
            </w:r>
          </w:p>
          <w:p w14:paraId="22A8B994" w14:textId="0C591611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9299423">
              <w:rPr>
                <w:rFonts w:eastAsia="EB Garamond"/>
              </w:rPr>
              <w:t xml:space="preserve">O teor do § 4º do artigo </w:t>
            </w:r>
            <w:r w:rsidR="7ED287A0" w:rsidRPr="59299423">
              <w:rPr>
                <w:rFonts w:eastAsia="EB Garamond"/>
              </w:rPr>
              <w:t>184</w:t>
            </w:r>
            <w:r w:rsidRPr="59299423">
              <w:rPr>
                <w:rFonts w:eastAsia="EB Garamond"/>
              </w:rPr>
              <w:t xml:space="preserve"> do </w:t>
            </w:r>
            <w:r w:rsidR="67EBA5FB" w:rsidRPr="59299423">
              <w:rPr>
                <w:rFonts w:eastAsia="EB Garamond"/>
              </w:rPr>
              <w:t>RITJPA</w:t>
            </w:r>
            <w:r w:rsidRPr="59299423">
              <w:rPr>
                <w:rFonts w:eastAsia="EB Garamond"/>
              </w:rPr>
              <w:t xml:space="preserve"> constitui requisito negativo, pois impede a instauração de I</w:t>
            </w:r>
            <w:r w:rsidR="0FEF5C64" w:rsidRPr="59299423">
              <w:rPr>
                <w:rFonts w:eastAsia="EB Garamond"/>
              </w:rPr>
              <w:t>AC</w:t>
            </w:r>
            <w:r w:rsidRPr="59299423">
              <w:rPr>
                <w:rFonts w:eastAsia="EB Garamond"/>
              </w:rPr>
              <w:t xml:space="preserve"> se já houver nos tribunais superiores afetação de tema que abarque a controvérsia que se deseja pacificar por meio de</w:t>
            </w:r>
            <w:r w:rsidR="00302FF5">
              <w:rPr>
                <w:rFonts w:eastAsia="EB Garamond"/>
              </w:rPr>
              <w:t>ste incidente</w:t>
            </w:r>
            <w:r w:rsidRPr="59299423">
              <w:rPr>
                <w:rFonts w:eastAsia="EB Garamond"/>
              </w:rPr>
              <w:t xml:space="preserve">. </w:t>
            </w:r>
          </w:p>
          <w:p w14:paraId="2A6B14B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Após realizar as pesquisas, não foi localizada qualquer afetação nos tribunais superiores sobre a questão, o que </w:t>
            </w:r>
            <w:r w:rsidR="00405378">
              <w:rPr>
                <w:rFonts w:eastAsia="EB Garamond"/>
              </w:rPr>
              <w:t>autoriza,</w:t>
            </w:r>
            <w:r>
              <w:rPr>
                <w:rFonts w:eastAsia="EB Garamond"/>
              </w:rPr>
              <w:t xml:space="preserve"> conjugado aos requisitos anteriores, a admissibilidade deste incidente.</w:t>
            </w:r>
          </w:p>
          <w:p w14:paraId="0C178E9E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EDBB2DD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  <w:b/>
              </w:rPr>
              <w:t>QUESITOS QUE AFETAM A ADMISSIBILIDADE</w:t>
            </w:r>
          </w:p>
          <w:p w14:paraId="3C0395D3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5F3BC66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Não obstante ter-se comprovado, com a explanação acima, o preenchimento dos requisitos legais, convém abordar questões outras que afetam a admissibilidade.</w:t>
            </w:r>
          </w:p>
          <w:p w14:paraId="3254BC2F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BAC328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lastRenderedPageBreak/>
              <w:t>I – Legitimidade</w:t>
            </w:r>
          </w:p>
          <w:p w14:paraId="7EA674DA" w14:textId="2709762D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9299423">
              <w:rPr>
                <w:rFonts w:eastAsia="EB Garamond"/>
              </w:rPr>
              <w:t xml:space="preserve">O </w:t>
            </w:r>
            <w:r w:rsidR="7DD153BA" w:rsidRPr="59299423">
              <w:rPr>
                <w:rFonts w:eastAsia="EB Garamond"/>
              </w:rPr>
              <w:t xml:space="preserve">par. 1, do </w:t>
            </w:r>
            <w:r w:rsidRPr="59299423">
              <w:rPr>
                <w:rFonts w:eastAsia="EB Garamond"/>
              </w:rPr>
              <w:t xml:space="preserve">art. </w:t>
            </w:r>
            <w:r w:rsidR="594D3C78" w:rsidRPr="59299423">
              <w:rPr>
                <w:rFonts w:eastAsia="EB Garamond"/>
              </w:rPr>
              <w:t xml:space="preserve">947, </w:t>
            </w:r>
            <w:r w:rsidRPr="59299423">
              <w:rPr>
                <w:rFonts w:eastAsia="EB Garamond"/>
              </w:rPr>
              <w:t xml:space="preserve">do CPC elenca rol exaustivo de pessoas/instituições legitimadas para atuar no polo ativo da demanda. </w:t>
            </w:r>
          </w:p>
          <w:p w14:paraId="17F7B8E9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Cumprido está esse requisito, porque o presente pedido foi formulado por: </w:t>
            </w:r>
          </w:p>
          <w:p w14:paraId="651E9592" w14:textId="77777777" w:rsidR="00840045" w:rsidRDefault="00840045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781DE91" w14:textId="3FFBC7BC" w:rsidR="00CE174B" w:rsidRDefault="0013032D">
            <w:pPr>
              <w:pStyle w:val="LO-normal"/>
              <w:spacing w:before="60" w:after="60"/>
              <w:jc w:val="both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)</w:t>
            </w:r>
            <w:r w:rsidR="00840045">
              <w:rPr>
                <w:rFonts w:eastAsia="Arial Unicode MS"/>
              </w:rPr>
              <w:t xml:space="preserve"> Magistrado</w:t>
            </w:r>
          </w:p>
          <w:p w14:paraId="2A730454" w14:textId="14BE4F4E" w:rsidR="00CE174B" w:rsidRDefault="0013032D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)</w:t>
            </w:r>
            <w:r w:rsidR="00CD6963">
              <w:rPr>
                <w:rFonts w:eastAsia="Arial Unicode MS"/>
              </w:rPr>
              <w:t xml:space="preserve"> Partes</w:t>
            </w:r>
          </w:p>
          <w:p w14:paraId="1E61351A" w14:textId="1D7EE663" w:rsidR="00CE174B" w:rsidRDefault="0013032D">
            <w:pPr>
              <w:pStyle w:val="LO-normal"/>
              <w:spacing w:before="60" w:after="60"/>
              <w:jc w:val="both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)</w:t>
            </w:r>
            <w:r w:rsidR="00CD6963">
              <w:rPr>
                <w:rFonts w:eastAsia="Arial Unicode MS"/>
              </w:rPr>
              <w:t xml:space="preserve"> Ministério Público</w:t>
            </w:r>
          </w:p>
          <w:p w14:paraId="37B869AE" w14:textId="7729F127" w:rsidR="00CE174B" w:rsidRDefault="0013032D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)</w:t>
            </w:r>
            <w:r w:rsidR="00CD6963">
              <w:rPr>
                <w:rFonts w:eastAsia="Arial Unicode MS"/>
              </w:rPr>
              <w:t xml:space="preserve"> Defensoria Pública</w:t>
            </w:r>
          </w:p>
          <w:p w14:paraId="269E314A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39B90E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 – Regularidade formal</w:t>
            </w:r>
          </w:p>
          <w:p w14:paraId="7EFA46DC" w14:textId="64F800D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9299423">
              <w:rPr>
                <w:rFonts w:eastAsia="EB Garamond"/>
              </w:rPr>
              <w:t>Consoante art. 9</w:t>
            </w:r>
            <w:r w:rsidR="6A86A718" w:rsidRPr="59299423">
              <w:rPr>
                <w:rFonts w:eastAsia="EB Garamond"/>
              </w:rPr>
              <w:t>47</w:t>
            </w:r>
            <w:r w:rsidRPr="59299423">
              <w:rPr>
                <w:rFonts w:eastAsia="EB Garamond"/>
              </w:rPr>
              <w:t>, parágrafo único, do CPC, tanto o ofício quanto a petição deverão ser instruídos com os documentos capazes de demonstrar o preenchimento dos pressupostos de instauração.</w:t>
            </w:r>
          </w:p>
          <w:p w14:paraId="47341341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356E7EFD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Ao presente pedido foram anexados os seguintes documentos:</w:t>
            </w:r>
          </w:p>
          <w:p w14:paraId="185658F6" w14:textId="5ACEF3DA" w:rsidR="00CE174B" w:rsidRDefault="0013032D" w:rsidP="0013032D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 )</w:t>
            </w:r>
            <w:r w:rsidR="00840045">
              <w:rPr>
                <w:rFonts w:eastAsia="Arial Unicode MS"/>
              </w:rPr>
              <w:t xml:space="preserve"> A</w:t>
            </w:r>
            <w:r w:rsidR="00CD6963">
              <w:rPr>
                <w:rFonts w:eastAsia="Arial Unicode MS"/>
              </w:rPr>
              <w:t>córdãos</w:t>
            </w:r>
          </w:p>
          <w:p w14:paraId="1F067D16" w14:textId="4BED16E5" w:rsidR="00CE174B" w:rsidRDefault="0013032D" w:rsidP="0013032D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proofErr w:type="gramStart"/>
            <w:r>
              <w:rPr>
                <w:rFonts w:eastAsia="Arial Unicode MS"/>
              </w:rPr>
              <w:t>(</w:t>
            </w:r>
            <w:r w:rsidR="00CD6963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proofErr w:type="gramEnd"/>
            <w:r>
              <w:rPr>
                <w:rFonts w:eastAsia="Arial Unicode MS"/>
              </w:rPr>
              <w:t xml:space="preserve">  ) </w:t>
            </w:r>
            <w:r w:rsidR="00840045">
              <w:rPr>
                <w:rFonts w:eastAsia="Arial Unicode MS"/>
              </w:rPr>
              <w:t>C</w:t>
            </w:r>
            <w:r w:rsidR="00CD6963">
              <w:rPr>
                <w:rFonts w:eastAsia="Arial Unicode MS"/>
              </w:rPr>
              <w:t>oletânea de ementas (com referências completas)</w:t>
            </w:r>
          </w:p>
          <w:p w14:paraId="312CFA8D" w14:textId="53CAAD74" w:rsidR="00CE174B" w:rsidRDefault="0013032D" w:rsidP="0013032D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 )</w:t>
            </w:r>
            <w:r w:rsidR="00CD6963">
              <w:rPr>
                <w:rFonts w:eastAsia="Arial Unicode MS"/>
              </w:rPr>
              <w:t xml:space="preserve"> </w:t>
            </w:r>
            <w:r w:rsidR="00840045">
              <w:rPr>
                <w:rFonts w:eastAsia="Arial Unicode MS"/>
              </w:rPr>
              <w:t>S</w:t>
            </w:r>
            <w:r w:rsidR="00CD6963">
              <w:rPr>
                <w:rFonts w:eastAsia="Arial Unicode MS"/>
              </w:rPr>
              <w:t>entenças e de</w:t>
            </w:r>
            <w:r w:rsidR="00840045">
              <w:rPr>
                <w:rFonts w:eastAsia="Arial Unicode MS"/>
              </w:rPr>
              <w:t>cisões</w:t>
            </w:r>
          </w:p>
          <w:p w14:paraId="4383C3AA" w14:textId="29F69C35" w:rsidR="00CE174B" w:rsidRDefault="0013032D" w:rsidP="0013032D">
            <w:pPr>
              <w:pStyle w:val="LO-normal"/>
              <w:spacing w:before="60" w:after="60"/>
              <w:jc w:val="both"/>
            </w:pPr>
            <w:proofErr w:type="gramStart"/>
            <w:r>
              <w:rPr>
                <w:rFonts w:eastAsia="Arial Unicode MS"/>
              </w:rPr>
              <w:t xml:space="preserve">(  </w:t>
            </w:r>
            <w:proofErr w:type="gramEnd"/>
            <w:r>
              <w:rPr>
                <w:rFonts w:eastAsia="Arial Unicode MS"/>
              </w:rPr>
              <w:t xml:space="preserve">  )</w:t>
            </w:r>
            <w:r w:rsidR="00CD6963" w:rsidRPr="43F29881">
              <w:rPr>
                <w:rFonts w:eastAsia="Arial Unicode MS"/>
              </w:rPr>
              <w:t xml:space="preserve"> </w:t>
            </w:r>
            <w:r w:rsidR="00840045" w:rsidRPr="43F29881">
              <w:rPr>
                <w:rFonts w:eastAsia="Arial Unicode MS"/>
              </w:rPr>
              <w:t>O</w:t>
            </w:r>
            <w:r w:rsidR="00CD6963" w:rsidRPr="43F29881">
              <w:rPr>
                <w:rFonts w:eastAsia="Arial Unicode MS"/>
              </w:rPr>
              <w:t xml:space="preserve">utro (especificar): </w:t>
            </w:r>
          </w:p>
          <w:p w14:paraId="7B40C951" w14:textId="77777777" w:rsidR="00CE174B" w:rsidRDefault="00CE174B" w:rsidP="0013032D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5A61679B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III – Competência</w:t>
            </w:r>
          </w:p>
          <w:p w14:paraId="6D5B42A3" w14:textId="31F00CB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609FB59">
              <w:rPr>
                <w:rFonts w:eastAsia="EB Garamond"/>
              </w:rPr>
              <w:t>O órgão julgador do I</w:t>
            </w:r>
            <w:r w:rsidR="222ADF39" w:rsidRPr="5609FB59">
              <w:rPr>
                <w:rFonts w:eastAsia="EB Garamond"/>
              </w:rPr>
              <w:t>AC</w:t>
            </w:r>
            <w:r w:rsidRPr="5609FB59">
              <w:rPr>
                <w:rFonts w:eastAsia="EB Garamond"/>
              </w:rPr>
              <w:t xml:space="preserve"> é aquele responsável por </w:t>
            </w:r>
            <w:r w:rsidR="2299A7E3" w:rsidRPr="5609FB59">
              <w:rPr>
                <w:rFonts w:eastAsia="EB Garamond"/>
              </w:rPr>
              <w:t>qualificar a jurisprudência do TJPA</w:t>
            </w:r>
            <w:r w:rsidRPr="5609FB59">
              <w:rPr>
                <w:rFonts w:eastAsia="EB Garamond"/>
              </w:rPr>
              <w:t>, conforme disposto no art. 9</w:t>
            </w:r>
            <w:r w:rsidR="6308F843" w:rsidRPr="5609FB59">
              <w:rPr>
                <w:rFonts w:eastAsia="EB Garamond"/>
              </w:rPr>
              <w:t>47</w:t>
            </w:r>
            <w:r w:rsidRPr="5609FB59">
              <w:rPr>
                <w:rFonts w:eastAsia="EB Garamond"/>
              </w:rPr>
              <w:t xml:space="preserve"> do CPC.</w:t>
            </w:r>
          </w:p>
          <w:p w14:paraId="68547C2A" w14:textId="15687B82" w:rsidR="00CE174B" w:rsidRDefault="00CD6963" w:rsidP="5609FB59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609FB59">
              <w:rPr>
                <w:rFonts w:eastAsia="EB Garamond"/>
              </w:rPr>
              <w:t>A competência para julgar o I</w:t>
            </w:r>
            <w:r w:rsidR="23BD5EC4" w:rsidRPr="5609FB59">
              <w:rPr>
                <w:rFonts w:eastAsia="EB Garamond"/>
              </w:rPr>
              <w:t>AC</w:t>
            </w:r>
            <w:r w:rsidRPr="5609FB59">
              <w:rPr>
                <w:rFonts w:eastAsia="EB Garamond"/>
              </w:rPr>
              <w:t xml:space="preserve"> é sempre de um tribunal, cabendo ao órgão definido no regimento interno o julgamento do incidente.</w:t>
            </w:r>
          </w:p>
          <w:p w14:paraId="4B4D7232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792B101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IV – Questão meramente de direito</w:t>
            </w:r>
          </w:p>
          <w:p w14:paraId="3CF17C58" w14:textId="4B55197E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73973644">
              <w:rPr>
                <w:rFonts w:eastAsia="EB Garamond"/>
              </w:rPr>
              <w:lastRenderedPageBreak/>
              <w:t xml:space="preserve">A questão submetida à análise e a tese fixada em </w:t>
            </w:r>
            <w:r w:rsidR="211BFBC3" w:rsidRPr="73973644">
              <w:rPr>
                <w:rFonts w:eastAsia="EB Garamond"/>
              </w:rPr>
              <w:t>IAC</w:t>
            </w:r>
            <w:r w:rsidRPr="73973644">
              <w:rPr>
                <w:rFonts w:eastAsia="EB Garamond"/>
              </w:rPr>
              <w:t xml:space="preserve"> devem circunscrever-se a matéria de direito, </w:t>
            </w:r>
            <w:r w:rsidR="425B6ADC" w:rsidRPr="73973644">
              <w:rPr>
                <w:rFonts w:eastAsia="EB Garamond"/>
              </w:rPr>
              <w:t xml:space="preserve">podendo ser de direito material ou processual, </w:t>
            </w:r>
            <w:r w:rsidRPr="73973644">
              <w:rPr>
                <w:rFonts w:eastAsia="EB Garamond"/>
              </w:rPr>
              <w:t>não podendo imiscuir-se ou basear-se em questões fáticas.</w:t>
            </w:r>
          </w:p>
          <w:p w14:paraId="09F32D0B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Observa-se no presente caso que o tema envolve questões exclusivamente de direito, ao passo que </w:t>
            </w:r>
          </w:p>
          <w:p w14:paraId="2093CA67" w14:textId="31A0EA0A" w:rsidR="00CE174B" w:rsidRDefault="00CE174B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053F5AA7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6A85640D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503B197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5750D7F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CONCLUSÃO</w:t>
            </w:r>
          </w:p>
          <w:p w14:paraId="5FB6D332" w14:textId="191ED51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5609FB59">
              <w:rPr>
                <w:rFonts w:eastAsia="EB Garamond"/>
              </w:rPr>
              <w:t>Pelo exposto, propõe-se a instauração do I</w:t>
            </w:r>
            <w:r w:rsidR="66403FBB" w:rsidRPr="5609FB59">
              <w:rPr>
                <w:rFonts w:eastAsia="EB Garamond"/>
              </w:rPr>
              <w:t>AC</w:t>
            </w:r>
            <w:r w:rsidRPr="5609FB59">
              <w:rPr>
                <w:rFonts w:eastAsia="EB Garamond"/>
              </w:rPr>
              <w:t xml:space="preserve">, submetendo-se à apreciação desse egrégio Tribunal a seguinte questão jurídica: </w:t>
            </w:r>
          </w:p>
          <w:p w14:paraId="38288749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0BD9A1A" w14:textId="1A5C2715" w:rsidR="00CE174B" w:rsidRDefault="00CE174B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5C541ABB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noProof/>
              </w:rPr>
            </w:pPr>
          </w:p>
          <w:p w14:paraId="21926A6D" w14:textId="77777777" w:rsidR="006572BB" w:rsidRDefault="006572B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C136CF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A392C6A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90583F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68F21D90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2594076F" wp14:editId="2D2C6DB8">
                  <wp:extent cx="2361565" cy="230505"/>
                  <wp:effectExtent l="0" t="0" r="0" b="0"/>
                  <wp:docPr id="1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326F3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4853B841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6AA8F5EA" wp14:editId="386A34DC">
                  <wp:extent cx="3482975" cy="230505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74B" w14:paraId="3648AB42" w14:textId="77777777" w:rsidTr="43F29881">
        <w:tc>
          <w:tcPr>
            <w:tcW w:w="273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0A26430" w14:textId="4D4E6E1C" w:rsidR="73973644" w:rsidRDefault="73973644" w:rsidP="73973644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0EF0356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>
              <w:rPr>
                <w:rFonts w:eastAsia="EB Garamond"/>
                <w:color w:val="548DD4"/>
                <w:sz w:val="20"/>
                <w:szCs w:val="20"/>
              </w:rPr>
              <w:lastRenderedPageBreak/>
              <w:t>Indique local e data da formulação do pedido.</w:t>
            </w:r>
          </w:p>
          <w:p w14:paraId="5012523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</w:tc>
        <w:tc>
          <w:tcPr>
            <w:tcW w:w="754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25747A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82EDA48" w14:textId="77777777" w:rsidR="00CE174B" w:rsidRDefault="00CD6963" w:rsidP="00405378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45D503" wp14:editId="54C760E9">
                  <wp:extent cx="1812925" cy="191135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F29881">
              <w:rPr>
                <w:rFonts w:eastAsia="EB Garamond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B6965B9" wp14:editId="062684F7">
                  <wp:extent cx="270510" cy="19113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F29881">
              <w:rPr>
                <w:rFonts w:eastAsia="EB Garamond"/>
              </w:rPr>
              <w:t xml:space="preserve">  de </w:t>
            </w:r>
            <w:r>
              <w:rPr>
                <w:noProof/>
              </w:rPr>
              <w:drawing>
                <wp:inline distT="0" distB="0" distL="0" distR="0" wp14:anchorId="30500911" wp14:editId="3DC85B35">
                  <wp:extent cx="1025525" cy="191135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F29881">
              <w:rPr>
                <w:rFonts w:eastAsia="EB Garamond"/>
              </w:rPr>
              <w:t xml:space="preserve"> </w:t>
            </w:r>
            <w:proofErr w:type="spellStart"/>
            <w:r w:rsidRPr="43F29881">
              <w:rPr>
                <w:rFonts w:eastAsia="EB Garamond"/>
              </w:rPr>
              <w:t>de</w:t>
            </w:r>
            <w:proofErr w:type="spellEnd"/>
            <w:r w:rsidRPr="43F29881">
              <w:rPr>
                <w:rFonts w:eastAsia="EB Garamond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349A79" wp14:editId="3F78AA42">
                  <wp:extent cx="413385" cy="191135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F29881">
              <w:rPr>
                <w:rFonts w:eastAsia="EB Garamond"/>
              </w:rPr>
              <w:t>.</w:t>
            </w:r>
          </w:p>
        </w:tc>
      </w:tr>
    </w:tbl>
    <w:p w14:paraId="09B8D95D" w14:textId="77777777" w:rsidR="00CE174B" w:rsidRDefault="00CE174B">
      <w:pPr>
        <w:pStyle w:val="LO-normal"/>
        <w:spacing w:before="60" w:after="60" w:line="360" w:lineRule="auto"/>
        <w:jc w:val="both"/>
      </w:pPr>
    </w:p>
    <w:sectPr w:rsidR="00CE174B" w:rsidSect="006572BB">
      <w:headerReference w:type="default" r:id="rId17"/>
      <w:footerReference w:type="default" r:id="rId18"/>
      <w:pgSz w:w="11906" w:h="16838"/>
      <w:pgMar w:top="2977" w:right="1134" w:bottom="1134" w:left="1701" w:header="425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AEE5" w14:textId="77777777" w:rsidR="00405B15" w:rsidRDefault="00405B15" w:rsidP="00CE174B">
      <w:r>
        <w:separator/>
      </w:r>
    </w:p>
  </w:endnote>
  <w:endnote w:type="continuationSeparator" w:id="0">
    <w:p w14:paraId="471297AD" w14:textId="77777777" w:rsidR="00405B15" w:rsidRDefault="00405B15" w:rsidP="00C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FD2A" w14:textId="77777777" w:rsidR="0071659F" w:rsidRDefault="0071659F">
    <w:pPr>
      <w:pStyle w:val="LO-normal"/>
      <w:tabs>
        <w:tab w:val="center" w:pos="4252"/>
        <w:tab w:val="right" w:pos="8504"/>
      </w:tabs>
      <w:jc w:val="right"/>
      <w:rPr>
        <w:color w:val="000000"/>
      </w:rPr>
    </w:pPr>
  </w:p>
  <w:p w14:paraId="27A76422" w14:textId="77777777" w:rsidR="0071659F" w:rsidRDefault="0071659F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07CA" w14:textId="77777777" w:rsidR="00405B15" w:rsidRDefault="00405B15" w:rsidP="00CE174B">
      <w:r>
        <w:separator/>
      </w:r>
    </w:p>
  </w:footnote>
  <w:footnote w:type="continuationSeparator" w:id="0">
    <w:p w14:paraId="347E6098" w14:textId="77777777" w:rsidR="00405B15" w:rsidRDefault="00405B15" w:rsidP="00CE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6A88" w14:textId="77777777" w:rsidR="0071659F" w:rsidRDefault="0071659F">
    <w:pPr>
      <w:pStyle w:val="LO-normal"/>
      <w:jc w:val="center"/>
    </w:pPr>
  </w:p>
  <w:p w14:paraId="67B7A70C" w14:textId="77777777" w:rsidR="0071659F" w:rsidRDefault="0071659F">
    <w:pPr>
      <w:pStyle w:val="LO-normal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64"/>
    <w:multiLevelType w:val="hybridMultilevel"/>
    <w:tmpl w:val="B9F20196"/>
    <w:lvl w:ilvl="0" w:tplc="4A701676">
      <w:start w:val="1"/>
      <w:numFmt w:val="decimal"/>
      <w:lvlText w:val="%1."/>
      <w:lvlJc w:val="left"/>
      <w:pPr>
        <w:ind w:left="720" w:hanging="360"/>
      </w:pPr>
    </w:lvl>
    <w:lvl w:ilvl="1" w:tplc="07B62D12">
      <w:start w:val="1"/>
      <w:numFmt w:val="lowerLetter"/>
      <w:lvlText w:val="%2."/>
      <w:lvlJc w:val="left"/>
      <w:pPr>
        <w:ind w:left="1440" w:hanging="360"/>
      </w:pPr>
    </w:lvl>
    <w:lvl w:ilvl="2" w:tplc="6F1E6470">
      <w:start w:val="1"/>
      <w:numFmt w:val="lowerRoman"/>
      <w:lvlText w:val="%3."/>
      <w:lvlJc w:val="right"/>
      <w:pPr>
        <w:ind w:left="2160" w:hanging="180"/>
      </w:pPr>
    </w:lvl>
    <w:lvl w:ilvl="3" w:tplc="9BD4AE4A">
      <w:start w:val="1"/>
      <w:numFmt w:val="decimal"/>
      <w:lvlText w:val="%4."/>
      <w:lvlJc w:val="left"/>
      <w:pPr>
        <w:ind w:left="2880" w:hanging="360"/>
      </w:pPr>
    </w:lvl>
    <w:lvl w:ilvl="4" w:tplc="DB8632B4">
      <w:start w:val="1"/>
      <w:numFmt w:val="lowerLetter"/>
      <w:lvlText w:val="%5."/>
      <w:lvlJc w:val="left"/>
      <w:pPr>
        <w:ind w:left="3600" w:hanging="360"/>
      </w:pPr>
    </w:lvl>
    <w:lvl w:ilvl="5" w:tplc="9586B744">
      <w:start w:val="1"/>
      <w:numFmt w:val="lowerRoman"/>
      <w:lvlText w:val="%6."/>
      <w:lvlJc w:val="right"/>
      <w:pPr>
        <w:ind w:left="4320" w:hanging="180"/>
      </w:pPr>
    </w:lvl>
    <w:lvl w:ilvl="6" w:tplc="244CE182">
      <w:start w:val="1"/>
      <w:numFmt w:val="decimal"/>
      <w:lvlText w:val="%7."/>
      <w:lvlJc w:val="left"/>
      <w:pPr>
        <w:ind w:left="5040" w:hanging="360"/>
      </w:pPr>
    </w:lvl>
    <w:lvl w:ilvl="7" w:tplc="F4B08FAE">
      <w:start w:val="1"/>
      <w:numFmt w:val="lowerLetter"/>
      <w:lvlText w:val="%8."/>
      <w:lvlJc w:val="left"/>
      <w:pPr>
        <w:ind w:left="5760" w:hanging="360"/>
      </w:pPr>
    </w:lvl>
    <w:lvl w:ilvl="8" w:tplc="8A7E86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B"/>
    <w:rsid w:val="00013ECC"/>
    <w:rsid w:val="0007296C"/>
    <w:rsid w:val="0013032D"/>
    <w:rsid w:val="00254FC6"/>
    <w:rsid w:val="0026697F"/>
    <w:rsid w:val="00302FF5"/>
    <w:rsid w:val="003A52A1"/>
    <w:rsid w:val="00405378"/>
    <w:rsid w:val="00405B15"/>
    <w:rsid w:val="004F5849"/>
    <w:rsid w:val="0053322E"/>
    <w:rsid w:val="00537A5B"/>
    <w:rsid w:val="0061135F"/>
    <w:rsid w:val="006572BB"/>
    <w:rsid w:val="006F311E"/>
    <w:rsid w:val="0071659F"/>
    <w:rsid w:val="00840045"/>
    <w:rsid w:val="00860B7B"/>
    <w:rsid w:val="0094EF20"/>
    <w:rsid w:val="00A684F3"/>
    <w:rsid w:val="00C11AAE"/>
    <w:rsid w:val="00CD00D0"/>
    <w:rsid w:val="00CD6963"/>
    <w:rsid w:val="00CE174B"/>
    <w:rsid w:val="00D2AC45"/>
    <w:rsid w:val="00D45F4F"/>
    <w:rsid w:val="00E628C8"/>
    <w:rsid w:val="00F427E1"/>
    <w:rsid w:val="00FF3332"/>
    <w:rsid w:val="01306724"/>
    <w:rsid w:val="014ABD3C"/>
    <w:rsid w:val="019F2FCE"/>
    <w:rsid w:val="01A7DF6E"/>
    <w:rsid w:val="01F68E26"/>
    <w:rsid w:val="02B9079B"/>
    <w:rsid w:val="033E3938"/>
    <w:rsid w:val="03408CA3"/>
    <w:rsid w:val="03C1F97D"/>
    <w:rsid w:val="0419C972"/>
    <w:rsid w:val="045646F6"/>
    <w:rsid w:val="04C202B0"/>
    <w:rsid w:val="04F2F8AA"/>
    <w:rsid w:val="053CB4F6"/>
    <w:rsid w:val="058F7B24"/>
    <w:rsid w:val="062CF078"/>
    <w:rsid w:val="064003C4"/>
    <w:rsid w:val="064E394D"/>
    <w:rsid w:val="06542D9A"/>
    <w:rsid w:val="0712ED71"/>
    <w:rsid w:val="07AD3086"/>
    <w:rsid w:val="0843C465"/>
    <w:rsid w:val="088B8C4D"/>
    <w:rsid w:val="08D6E05C"/>
    <w:rsid w:val="08E750E0"/>
    <w:rsid w:val="08EB0885"/>
    <w:rsid w:val="09E82617"/>
    <w:rsid w:val="09F83744"/>
    <w:rsid w:val="0A004C08"/>
    <w:rsid w:val="0A046E03"/>
    <w:rsid w:val="0A26A64C"/>
    <w:rsid w:val="0ADC6273"/>
    <w:rsid w:val="0B1FFC89"/>
    <w:rsid w:val="0B9E1A88"/>
    <w:rsid w:val="0BBF2D26"/>
    <w:rsid w:val="0D37ECCA"/>
    <w:rsid w:val="0D74918C"/>
    <w:rsid w:val="0E1381D9"/>
    <w:rsid w:val="0E245EED"/>
    <w:rsid w:val="0E4B6E77"/>
    <w:rsid w:val="0F700DCF"/>
    <w:rsid w:val="0F9C8572"/>
    <w:rsid w:val="0FAD54A1"/>
    <w:rsid w:val="0FEF5C64"/>
    <w:rsid w:val="10475BE2"/>
    <w:rsid w:val="105D4F95"/>
    <w:rsid w:val="1091E277"/>
    <w:rsid w:val="10A0A75A"/>
    <w:rsid w:val="1108AD5D"/>
    <w:rsid w:val="118EEA9A"/>
    <w:rsid w:val="11B09F69"/>
    <w:rsid w:val="1227BA89"/>
    <w:rsid w:val="1274A71D"/>
    <w:rsid w:val="12C1BC6D"/>
    <w:rsid w:val="1385BB3A"/>
    <w:rsid w:val="152B42BF"/>
    <w:rsid w:val="1574187D"/>
    <w:rsid w:val="1582D391"/>
    <w:rsid w:val="159DBE3C"/>
    <w:rsid w:val="15AC1825"/>
    <w:rsid w:val="15CD2C47"/>
    <w:rsid w:val="16304A47"/>
    <w:rsid w:val="1690B908"/>
    <w:rsid w:val="16B1FC63"/>
    <w:rsid w:val="17653BE8"/>
    <w:rsid w:val="178122F9"/>
    <w:rsid w:val="183011DB"/>
    <w:rsid w:val="188E50ED"/>
    <w:rsid w:val="18AC2979"/>
    <w:rsid w:val="18DF9946"/>
    <w:rsid w:val="191C5752"/>
    <w:rsid w:val="19FC00AD"/>
    <w:rsid w:val="1AB46F71"/>
    <w:rsid w:val="1AD8DC84"/>
    <w:rsid w:val="1B44680E"/>
    <w:rsid w:val="1B89780C"/>
    <w:rsid w:val="1B93565A"/>
    <w:rsid w:val="1BA45E14"/>
    <w:rsid w:val="1BC5AF0B"/>
    <w:rsid w:val="1C2F1A95"/>
    <w:rsid w:val="1C74ACE5"/>
    <w:rsid w:val="1C7E9BC5"/>
    <w:rsid w:val="1C8128A5"/>
    <w:rsid w:val="1C985C1B"/>
    <w:rsid w:val="1CEB918D"/>
    <w:rsid w:val="1CEF66FC"/>
    <w:rsid w:val="1DC2F261"/>
    <w:rsid w:val="1DF5291A"/>
    <w:rsid w:val="1E04C222"/>
    <w:rsid w:val="1E5826C9"/>
    <w:rsid w:val="1E75C65B"/>
    <w:rsid w:val="1EA95137"/>
    <w:rsid w:val="1F261176"/>
    <w:rsid w:val="1F372A11"/>
    <w:rsid w:val="1F790C98"/>
    <w:rsid w:val="1F814B04"/>
    <w:rsid w:val="20B6CB24"/>
    <w:rsid w:val="211BFBC3"/>
    <w:rsid w:val="211C83ED"/>
    <w:rsid w:val="21AEEB8B"/>
    <w:rsid w:val="21BC7059"/>
    <w:rsid w:val="21C3D2A5"/>
    <w:rsid w:val="221F623B"/>
    <w:rsid w:val="2220C301"/>
    <w:rsid w:val="222ADF39"/>
    <w:rsid w:val="2240DBCA"/>
    <w:rsid w:val="224C5AA5"/>
    <w:rsid w:val="22898963"/>
    <w:rsid w:val="2299A7E3"/>
    <w:rsid w:val="22CD073B"/>
    <w:rsid w:val="22E48EFD"/>
    <w:rsid w:val="235850A6"/>
    <w:rsid w:val="238B5FFF"/>
    <w:rsid w:val="23BD5EC4"/>
    <w:rsid w:val="23F6596C"/>
    <w:rsid w:val="240FF806"/>
    <w:rsid w:val="2410D22B"/>
    <w:rsid w:val="248786B8"/>
    <w:rsid w:val="24942A28"/>
    <w:rsid w:val="24CEA306"/>
    <w:rsid w:val="25188331"/>
    <w:rsid w:val="2531E673"/>
    <w:rsid w:val="254D6065"/>
    <w:rsid w:val="257B7764"/>
    <w:rsid w:val="2604F224"/>
    <w:rsid w:val="26217F18"/>
    <w:rsid w:val="273C26AB"/>
    <w:rsid w:val="277C82D8"/>
    <w:rsid w:val="27939B87"/>
    <w:rsid w:val="286F226E"/>
    <w:rsid w:val="28707F17"/>
    <w:rsid w:val="288F6275"/>
    <w:rsid w:val="2904D3B4"/>
    <w:rsid w:val="2A3933EB"/>
    <w:rsid w:val="2B092C51"/>
    <w:rsid w:val="2B4957CE"/>
    <w:rsid w:val="2B4AF631"/>
    <w:rsid w:val="2B89EFDA"/>
    <w:rsid w:val="2C147728"/>
    <w:rsid w:val="2C5048F7"/>
    <w:rsid w:val="2C9890D9"/>
    <w:rsid w:val="2D4BA95A"/>
    <w:rsid w:val="2D523AD1"/>
    <w:rsid w:val="2D80DF13"/>
    <w:rsid w:val="2DECF34C"/>
    <w:rsid w:val="2E2C90FD"/>
    <w:rsid w:val="2E2DF1C3"/>
    <w:rsid w:val="2E8CF064"/>
    <w:rsid w:val="2EBA6F57"/>
    <w:rsid w:val="2ED9275A"/>
    <w:rsid w:val="2F82EEA0"/>
    <w:rsid w:val="2FC4FCC7"/>
    <w:rsid w:val="300ABD04"/>
    <w:rsid w:val="30BDFC52"/>
    <w:rsid w:val="3154FCA2"/>
    <w:rsid w:val="31606F25"/>
    <w:rsid w:val="32D547F0"/>
    <w:rsid w:val="32E483DF"/>
    <w:rsid w:val="334DD9DD"/>
    <w:rsid w:val="342DABAE"/>
    <w:rsid w:val="34D90EBB"/>
    <w:rsid w:val="35DE782D"/>
    <w:rsid w:val="36B6BBE5"/>
    <w:rsid w:val="36E11211"/>
    <w:rsid w:val="371550B0"/>
    <w:rsid w:val="37342109"/>
    <w:rsid w:val="374A03C5"/>
    <w:rsid w:val="37A478C1"/>
    <w:rsid w:val="3816CB08"/>
    <w:rsid w:val="38219194"/>
    <w:rsid w:val="3968B7DF"/>
    <w:rsid w:val="39B5093C"/>
    <w:rsid w:val="3A04A9E2"/>
    <w:rsid w:val="3A185AF3"/>
    <w:rsid w:val="3A417F55"/>
    <w:rsid w:val="3A5FA200"/>
    <w:rsid w:val="3A6B560C"/>
    <w:rsid w:val="3AFB40F5"/>
    <w:rsid w:val="3C139155"/>
    <w:rsid w:val="3CD93EBD"/>
    <w:rsid w:val="3CE09EE6"/>
    <w:rsid w:val="3CF502B7"/>
    <w:rsid w:val="3DD124FD"/>
    <w:rsid w:val="3DF75951"/>
    <w:rsid w:val="3EB9432F"/>
    <w:rsid w:val="3F0EC6A4"/>
    <w:rsid w:val="3F6758CA"/>
    <w:rsid w:val="3FD6BFDB"/>
    <w:rsid w:val="40A2B9E8"/>
    <w:rsid w:val="40B91FBE"/>
    <w:rsid w:val="40C75F56"/>
    <w:rsid w:val="41410241"/>
    <w:rsid w:val="415E7F2B"/>
    <w:rsid w:val="41DF1233"/>
    <w:rsid w:val="420535E1"/>
    <w:rsid w:val="4245533E"/>
    <w:rsid w:val="425B6ADC"/>
    <w:rsid w:val="428B81F2"/>
    <w:rsid w:val="43037EBA"/>
    <w:rsid w:val="438010B7"/>
    <w:rsid w:val="43F29881"/>
    <w:rsid w:val="4443DB04"/>
    <w:rsid w:val="44A8EC69"/>
    <w:rsid w:val="44BD856D"/>
    <w:rsid w:val="44FF83D1"/>
    <w:rsid w:val="452D18CB"/>
    <w:rsid w:val="4532FA84"/>
    <w:rsid w:val="465300F9"/>
    <w:rsid w:val="46C68BE3"/>
    <w:rsid w:val="46DFACFC"/>
    <w:rsid w:val="46E8138E"/>
    <w:rsid w:val="4745ACEC"/>
    <w:rsid w:val="475BEA89"/>
    <w:rsid w:val="47752B88"/>
    <w:rsid w:val="479F3A28"/>
    <w:rsid w:val="4834DC58"/>
    <w:rsid w:val="488493F2"/>
    <w:rsid w:val="497DBE24"/>
    <w:rsid w:val="49A0855F"/>
    <w:rsid w:val="49C4E1BA"/>
    <w:rsid w:val="49D0ACB9"/>
    <w:rsid w:val="4A174DBE"/>
    <w:rsid w:val="4A600204"/>
    <w:rsid w:val="4B8ECB8A"/>
    <w:rsid w:val="4C4692CC"/>
    <w:rsid w:val="4CDB5838"/>
    <w:rsid w:val="4D2A9BEB"/>
    <w:rsid w:val="4D2D6D6A"/>
    <w:rsid w:val="4E8D3DBA"/>
    <w:rsid w:val="4EC6717D"/>
    <w:rsid w:val="4EE4B43A"/>
    <w:rsid w:val="4F4DD7F0"/>
    <w:rsid w:val="4F71E500"/>
    <w:rsid w:val="4FD05C8A"/>
    <w:rsid w:val="5031295A"/>
    <w:rsid w:val="517BD9E5"/>
    <w:rsid w:val="519C76FD"/>
    <w:rsid w:val="51CCF9BB"/>
    <w:rsid w:val="521D92A9"/>
    <w:rsid w:val="5398C113"/>
    <w:rsid w:val="53F86BFA"/>
    <w:rsid w:val="54338185"/>
    <w:rsid w:val="546E2AF8"/>
    <w:rsid w:val="5475ADF6"/>
    <w:rsid w:val="5609FB59"/>
    <w:rsid w:val="562A0F3C"/>
    <w:rsid w:val="57F01A98"/>
    <w:rsid w:val="57F8448C"/>
    <w:rsid w:val="580014E6"/>
    <w:rsid w:val="587F3657"/>
    <w:rsid w:val="58AFFA35"/>
    <w:rsid w:val="58C7AE3D"/>
    <w:rsid w:val="58D38C3F"/>
    <w:rsid w:val="59299423"/>
    <w:rsid w:val="594D3C78"/>
    <w:rsid w:val="59D35615"/>
    <w:rsid w:val="59E23B5D"/>
    <w:rsid w:val="5A5B8DD9"/>
    <w:rsid w:val="5A5BF6BA"/>
    <w:rsid w:val="5B5C5AF5"/>
    <w:rsid w:val="5B6984AB"/>
    <w:rsid w:val="5B8A29BB"/>
    <w:rsid w:val="5BB98EC2"/>
    <w:rsid w:val="5BEE78CF"/>
    <w:rsid w:val="5C692414"/>
    <w:rsid w:val="5C6A282F"/>
    <w:rsid w:val="5CC5417D"/>
    <w:rsid w:val="5CC60F71"/>
    <w:rsid w:val="5D3EF17B"/>
    <w:rsid w:val="5D781FB6"/>
    <w:rsid w:val="5DE21BBA"/>
    <w:rsid w:val="5E1E2BCA"/>
    <w:rsid w:val="5E473754"/>
    <w:rsid w:val="5E67F481"/>
    <w:rsid w:val="5EC0408B"/>
    <w:rsid w:val="60266397"/>
    <w:rsid w:val="602D86D4"/>
    <w:rsid w:val="604525CA"/>
    <w:rsid w:val="60B41AB3"/>
    <w:rsid w:val="60E1937C"/>
    <w:rsid w:val="6180C2D8"/>
    <w:rsid w:val="61B4408C"/>
    <w:rsid w:val="620FA7E9"/>
    <w:rsid w:val="624D1CD3"/>
    <w:rsid w:val="62C31651"/>
    <w:rsid w:val="62C68803"/>
    <w:rsid w:val="6308F843"/>
    <w:rsid w:val="63092A66"/>
    <w:rsid w:val="631C9339"/>
    <w:rsid w:val="637856D8"/>
    <w:rsid w:val="63BC59B0"/>
    <w:rsid w:val="640A60E4"/>
    <w:rsid w:val="64AE0AC1"/>
    <w:rsid w:val="64F51956"/>
    <w:rsid w:val="64F7A2AA"/>
    <w:rsid w:val="64FE23D7"/>
    <w:rsid w:val="653F6B95"/>
    <w:rsid w:val="65D303F2"/>
    <w:rsid w:val="66403FBB"/>
    <w:rsid w:val="66597093"/>
    <w:rsid w:val="6661B9A0"/>
    <w:rsid w:val="66A87B33"/>
    <w:rsid w:val="66D434A7"/>
    <w:rsid w:val="670AC830"/>
    <w:rsid w:val="6721FB71"/>
    <w:rsid w:val="67380762"/>
    <w:rsid w:val="67D5688D"/>
    <w:rsid w:val="67EBA5FB"/>
    <w:rsid w:val="680DD631"/>
    <w:rsid w:val="68110402"/>
    <w:rsid w:val="68AD0B47"/>
    <w:rsid w:val="69227BE1"/>
    <w:rsid w:val="6A22F014"/>
    <w:rsid w:val="6A74A450"/>
    <w:rsid w:val="6A7E5F1B"/>
    <w:rsid w:val="6A86A718"/>
    <w:rsid w:val="6A906F03"/>
    <w:rsid w:val="6B4E8604"/>
    <w:rsid w:val="6BD7F1CB"/>
    <w:rsid w:val="6C4EAAFC"/>
    <w:rsid w:val="6C65F0DE"/>
    <w:rsid w:val="6DA4700A"/>
    <w:rsid w:val="6DDCB511"/>
    <w:rsid w:val="6E13364C"/>
    <w:rsid w:val="7020263D"/>
    <w:rsid w:val="70330DBA"/>
    <w:rsid w:val="704F1CF8"/>
    <w:rsid w:val="708E6404"/>
    <w:rsid w:val="71065B1C"/>
    <w:rsid w:val="712AA232"/>
    <w:rsid w:val="717DBE45"/>
    <w:rsid w:val="719CE194"/>
    <w:rsid w:val="71F5B6B6"/>
    <w:rsid w:val="7209798C"/>
    <w:rsid w:val="72F8D4AC"/>
    <w:rsid w:val="73973644"/>
    <w:rsid w:val="73BD3B5E"/>
    <w:rsid w:val="73ED4153"/>
    <w:rsid w:val="741AA970"/>
    <w:rsid w:val="74254161"/>
    <w:rsid w:val="744FA079"/>
    <w:rsid w:val="74867AE0"/>
    <w:rsid w:val="74CB6036"/>
    <w:rsid w:val="74EE7539"/>
    <w:rsid w:val="756365A7"/>
    <w:rsid w:val="75B679D1"/>
    <w:rsid w:val="76512F68"/>
    <w:rsid w:val="769A62B3"/>
    <w:rsid w:val="76A24F3E"/>
    <w:rsid w:val="780A7A98"/>
    <w:rsid w:val="782BE22E"/>
    <w:rsid w:val="782F398C"/>
    <w:rsid w:val="7838F27C"/>
    <w:rsid w:val="78501743"/>
    <w:rsid w:val="7870E1F1"/>
    <w:rsid w:val="7876216B"/>
    <w:rsid w:val="7890AC81"/>
    <w:rsid w:val="7988D02A"/>
    <w:rsid w:val="7A0351D2"/>
    <w:rsid w:val="7A2CED1C"/>
    <w:rsid w:val="7A70C297"/>
    <w:rsid w:val="7A7B5A88"/>
    <w:rsid w:val="7B6E9AF5"/>
    <w:rsid w:val="7B989EE9"/>
    <w:rsid w:val="7BACF62C"/>
    <w:rsid w:val="7BD2B0BD"/>
    <w:rsid w:val="7BFC6FEA"/>
    <w:rsid w:val="7C9B4434"/>
    <w:rsid w:val="7D20C5DF"/>
    <w:rsid w:val="7D4672AE"/>
    <w:rsid w:val="7D74D397"/>
    <w:rsid w:val="7DB2FB4A"/>
    <w:rsid w:val="7DD153BA"/>
    <w:rsid w:val="7EA7AF2C"/>
    <w:rsid w:val="7EAE6E28"/>
    <w:rsid w:val="7ED287A0"/>
    <w:rsid w:val="7EF76149"/>
    <w:rsid w:val="7EFFF7A1"/>
    <w:rsid w:val="7FFA6F8E"/>
    <w:rsid w:val="7FFFF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A69"/>
  <w15:docId w15:val="{AAEF6053-F87D-4E6C-8D86-ED7C39FC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LO-normal"/>
    <w:qFormat/>
    <w:rsid w:val="00285FC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next w:val="LO-normal"/>
    <w:qFormat/>
    <w:rsid w:val="00285FC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next w:val="LO-normal"/>
    <w:qFormat/>
    <w:rsid w:val="00285FC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next w:val="LO-normal"/>
    <w:qFormat/>
    <w:rsid w:val="00285FC3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next w:val="LO-normal"/>
    <w:qFormat/>
    <w:rsid w:val="00285FC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next w:val="LO-normal"/>
    <w:qFormat/>
    <w:rsid w:val="00285FC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6AA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06F36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06F36"/>
  </w:style>
  <w:style w:type="character" w:styleId="Forte">
    <w:name w:val="Strong"/>
    <w:basedOn w:val="Fontepargpadro"/>
    <w:uiPriority w:val="22"/>
    <w:qFormat/>
    <w:rsid w:val="00606F36"/>
    <w:rPr>
      <w:b/>
      <w:bCs/>
    </w:rPr>
  </w:style>
  <w:style w:type="paragraph" w:styleId="Ttulo">
    <w:name w:val="Title"/>
    <w:basedOn w:val="LO-normal"/>
    <w:next w:val="Corpodetexto"/>
    <w:qFormat/>
    <w:rsid w:val="00285FC3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CE174B"/>
    <w:pPr>
      <w:spacing w:after="140" w:line="276" w:lineRule="auto"/>
    </w:pPr>
  </w:style>
  <w:style w:type="paragraph" w:styleId="Lista">
    <w:name w:val="List"/>
    <w:basedOn w:val="Corpodetexto"/>
    <w:rsid w:val="00CE174B"/>
    <w:rPr>
      <w:rFonts w:cs="Lucida Sans"/>
    </w:rPr>
  </w:style>
  <w:style w:type="paragraph" w:customStyle="1" w:styleId="Legenda1">
    <w:name w:val="Legenda1"/>
    <w:basedOn w:val="Normal"/>
    <w:qFormat/>
    <w:rsid w:val="00CE174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E174B"/>
    <w:pPr>
      <w:suppressLineNumbers/>
    </w:pPr>
    <w:rPr>
      <w:rFonts w:cs="Lucida Sans"/>
    </w:rPr>
  </w:style>
  <w:style w:type="paragraph" w:customStyle="1" w:styleId="LO-normal">
    <w:name w:val="LO-normal"/>
    <w:qFormat/>
    <w:rsid w:val="00285FC3"/>
  </w:style>
  <w:style w:type="paragraph" w:styleId="Subttulo">
    <w:name w:val="Subtitle"/>
    <w:basedOn w:val="LO-normal"/>
    <w:next w:val="LO-normal"/>
    <w:qFormat/>
    <w:rsid w:val="00285F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6AAD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06F3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06F3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606F36"/>
    <w:pPr>
      <w:spacing w:beforeAutospacing="1" w:afterAutospacing="1"/>
    </w:pPr>
  </w:style>
  <w:style w:type="table" w:customStyle="1" w:styleId="NormalTable0">
    <w:name w:val="Normal Table0"/>
    <w:rsid w:val="00285F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3A52A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A52A1"/>
  </w:style>
  <w:style w:type="paragraph" w:styleId="Rodap">
    <w:name w:val="footer"/>
    <w:basedOn w:val="Normal"/>
    <w:link w:val="RodapChar1"/>
    <w:uiPriority w:val="99"/>
    <w:unhideWhenUsed/>
    <w:rsid w:val="003A52A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DA1693591D84AACA88B3FE09B400E" ma:contentTypeVersion="12" ma:contentTypeDescription="Crie um novo documento." ma:contentTypeScope="" ma:versionID="645293cf29f86f152f656161ad84bef7">
  <xsd:schema xmlns:xsd="http://www.w3.org/2001/XMLSchema" xmlns:xs="http://www.w3.org/2001/XMLSchema" xmlns:p="http://schemas.microsoft.com/office/2006/metadata/properties" xmlns:ns2="9e728a72-7c8a-4264-9761-065b4a8c6aeb" xmlns:ns3="37870aa2-5b08-4e5a-ab41-657c443b21b9" targetNamespace="http://schemas.microsoft.com/office/2006/metadata/properties" ma:root="true" ma:fieldsID="b8ddc43120b40697b8277399fd6962d8" ns2:_="" ns3:_="">
    <xsd:import namespace="9e728a72-7c8a-4264-9761-065b4a8c6aeb"/>
    <xsd:import namespace="37870aa2-5b08-4e5a-ab41-657c443b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a72-7c8a-4264-9761-065b4a8c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0aa2-5b08-4e5a-ab41-657c443b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CB68F-9A77-45DC-8789-14F0B30E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8a72-7c8a-4264-9761-065b4a8c6aeb"/>
    <ds:schemaRef ds:uri="37870aa2-5b08-4e5a-ab41-657c443b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469F1-B072-4916-BFB6-BF34A858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70950-FF79-4C33-8191-F3839FDEA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Tupinamba Cabral</dc:creator>
  <cp:lastModifiedBy>W7</cp:lastModifiedBy>
  <cp:revision>7</cp:revision>
  <cp:lastPrinted>2021-02-26T13:56:00Z</cp:lastPrinted>
  <dcterms:created xsi:type="dcterms:W3CDTF">2021-06-25T12:29:00Z</dcterms:created>
  <dcterms:modified xsi:type="dcterms:W3CDTF">2021-06-25T14:56:00Z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0x010100B40DA1693591D84AACA88B3FE09B400E</vt:lpwstr>
  </property>
</Properties>
</file>